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4"/>
        <w:tabs>
          <w:tab w:val="right" w:pos="9360"/>
        </w:tabs>
        <w:spacing w:after="60" w:line="240" w:lineRule="auto"/>
        <w:jc w:val="both"/>
        <w:rPr>
          <w:rFonts w:hint="default" w:eastAsia="宋体" w:cs="Arial"/>
          <w:b/>
          <w:color w:val="FFFFFF"/>
          <w:sz w:val="22"/>
          <w:szCs w:val="22"/>
          <w:lang w:val="en-US" w:eastAsia="zh-CN"/>
        </w:rPr>
      </w:pPr>
      <w:bookmarkStart w:id="0" w:name="OLE_LINK1"/>
      <w:bookmarkStart w:id="1" w:name="OLE_LINK6"/>
      <w:bookmarkStart w:id="2" w:name="OLE_LINK2"/>
      <w:bookmarkStart w:id="3" w:name="OLE_LINK15"/>
      <w:bookmarkStart w:id="4" w:name="OLE_LINK16"/>
      <w:bookmarkStart w:id="5" w:name="_GoBack"/>
      <w:bookmarkEnd w:id="5"/>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w:t>
      </w:r>
      <w:r>
        <w:rPr>
          <w:rFonts w:hint="eastAsia" w:eastAsia="宋体" w:cs="Arial"/>
          <w:b/>
          <w:sz w:val="22"/>
          <w:szCs w:val="22"/>
          <w:lang w:val="en-US" w:eastAsia="zh-CN"/>
        </w:rPr>
        <w:t>108-e</w:t>
      </w:r>
      <w:r>
        <w:rPr>
          <w:rFonts w:eastAsia="宋体" w:cs="Arial"/>
          <w:b/>
          <w:sz w:val="22"/>
          <w:szCs w:val="22"/>
          <w:lang w:val="en-US" w:eastAsia="zh-CN"/>
        </w:rPr>
        <w:tab/>
      </w:r>
      <w:r>
        <w:rPr>
          <w:rFonts w:eastAsia="宋体" w:cs="Arial"/>
          <w:b/>
          <w:sz w:val="22"/>
          <w:szCs w:val="22"/>
          <w:highlight w:val="none"/>
          <w:lang w:val="sv-SE" w:eastAsia="zh-CN"/>
        </w:rPr>
        <w:t>R1-</w:t>
      </w:r>
      <w:r>
        <w:rPr>
          <w:rFonts w:hint="eastAsia" w:eastAsia="宋体" w:cs="Arial"/>
          <w:b/>
          <w:sz w:val="22"/>
          <w:szCs w:val="22"/>
          <w:highlight w:val="none"/>
          <w:lang w:val="en-US" w:eastAsia="zh-CN"/>
        </w:rPr>
        <w:t>2201391</w:t>
      </w:r>
    </w:p>
    <w:p>
      <w:pPr>
        <w:pStyle w:val="94"/>
        <w:tabs>
          <w:tab w:val="right" w:pos="9270"/>
        </w:tabs>
        <w:spacing w:after="60" w:line="240" w:lineRule="auto"/>
        <w:ind w:right="134"/>
        <w:jc w:val="both"/>
        <w:rPr>
          <w:rFonts w:cs="Arial"/>
          <w:b/>
          <w:sz w:val="22"/>
          <w:szCs w:val="22"/>
          <w:lang w:val="en-US"/>
        </w:rPr>
      </w:pPr>
      <w:r>
        <w:rPr>
          <w:rFonts w:hint="eastAsia" w:eastAsia="宋体" w:cs="Arial"/>
          <w:b/>
          <w:bCs/>
          <w:sz w:val="22"/>
          <w:szCs w:val="22"/>
          <w:lang w:val="en-US" w:eastAsia="zh-CN"/>
        </w:rPr>
        <w:t>e-Meeting</w:t>
      </w:r>
      <w:r>
        <w:rPr>
          <w:rFonts w:eastAsia="宋体" w:cs="Arial"/>
          <w:b/>
          <w:bCs/>
          <w:sz w:val="22"/>
          <w:szCs w:val="22"/>
          <w:lang w:val="en-US" w:eastAsia="zh-CN"/>
        </w:rPr>
        <w:t>,</w:t>
      </w:r>
      <w:r>
        <w:rPr>
          <w:rFonts w:hint="eastAsia" w:eastAsia="宋体" w:cs="Arial"/>
          <w:b/>
          <w:bCs/>
          <w:sz w:val="22"/>
          <w:szCs w:val="22"/>
          <w:lang w:val="en-US" w:eastAsia="zh-CN"/>
        </w:rPr>
        <w:t xml:space="preserve"> February 21</w:t>
      </w:r>
      <w:r>
        <w:rPr>
          <w:rFonts w:hint="eastAsia" w:eastAsia="宋体" w:cs="Arial"/>
          <w:b/>
          <w:bCs/>
          <w:sz w:val="22"/>
          <w:szCs w:val="22"/>
          <w:vertAlign w:val="superscript"/>
          <w:lang w:val="en-US" w:eastAsia="zh-CN"/>
        </w:rPr>
        <w:t>th</w:t>
      </w:r>
      <w:r>
        <w:rPr>
          <w:rFonts w:hint="eastAsia" w:eastAsia="宋体" w:cs="Arial"/>
          <w:b/>
          <w:bCs/>
          <w:sz w:val="22"/>
          <w:szCs w:val="22"/>
          <w:lang w:val="en-US" w:eastAsia="zh-CN"/>
        </w:rPr>
        <w:t xml:space="preserve"> </w:t>
      </w:r>
      <w:r>
        <w:rPr>
          <w:rFonts w:eastAsia="宋体" w:cs="Arial"/>
          <w:b/>
          <w:bCs/>
          <w:sz w:val="22"/>
          <w:szCs w:val="22"/>
          <w:lang w:val="en-US" w:eastAsia="zh-CN"/>
        </w:rPr>
        <w:t xml:space="preserve">- </w:t>
      </w:r>
      <w:r>
        <w:rPr>
          <w:rFonts w:hint="eastAsia" w:eastAsia="宋体" w:cs="Arial"/>
          <w:b/>
          <w:bCs/>
          <w:sz w:val="22"/>
          <w:szCs w:val="22"/>
          <w:lang w:val="en-US" w:eastAsia="zh-CN"/>
        </w:rPr>
        <w:t>March 3</w:t>
      </w:r>
      <w:r>
        <w:rPr>
          <w:rFonts w:hint="eastAsia" w:eastAsia="宋体" w:cs="Arial"/>
          <w:b/>
          <w:bCs/>
          <w:sz w:val="22"/>
          <w:szCs w:val="22"/>
          <w:vertAlign w:val="superscript"/>
          <w:lang w:val="en-US" w:eastAsia="zh-CN"/>
        </w:rPr>
        <w:t>rd</w:t>
      </w:r>
      <w:r>
        <w:rPr>
          <w:rFonts w:eastAsia="宋体" w:cs="Arial"/>
          <w:b/>
          <w:sz w:val="22"/>
          <w:szCs w:val="22"/>
          <w:lang w:val="en-US" w:eastAsia="zh-CN"/>
        </w:rPr>
        <w:t>,</w:t>
      </w:r>
      <w:r>
        <w:rPr>
          <w:rFonts w:eastAsia="宋体" w:cs="Arial"/>
          <w:b/>
          <w:sz w:val="22"/>
          <w:szCs w:val="22"/>
          <w:lang w:val="sv-SE" w:eastAsia="zh-CN"/>
        </w:rPr>
        <w:t xml:space="preserve"> 20</w:t>
      </w:r>
      <w:r>
        <w:rPr>
          <w:rFonts w:hint="eastAsia" w:eastAsia="宋体" w:cs="Arial"/>
          <w:b/>
          <w:sz w:val="22"/>
          <w:szCs w:val="22"/>
          <w:lang w:val="en-US" w:eastAsia="zh-CN"/>
        </w:rPr>
        <w:t>22</w:t>
      </w:r>
    </w:p>
    <w:p>
      <w:pPr>
        <w:pStyle w:val="94"/>
        <w:tabs>
          <w:tab w:val="right" w:pos="9639"/>
        </w:tabs>
        <w:spacing w:after="60" w:line="240" w:lineRule="auto"/>
        <w:jc w:val="both"/>
        <w:rPr>
          <w:rFonts w:eastAsia="宋体" w:cs="Arial"/>
          <w:b/>
          <w:sz w:val="22"/>
          <w:szCs w:val="22"/>
          <w:lang w:val="sv-SE" w:eastAsia="zh-CN"/>
        </w:rPr>
      </w:pPr>
    </w:p>
    <w:p>
      <w:pPr>
        <w:pStyle w:val="20"/>
        <w:spacing w:after="60" w:line="240" w:lineRule="auto"/>
        <w:ind w:left="1797" w:hanging="1797"/>
        <w:rPr>
          <w:rFonts w:eastAsia="宋体" w:cs="Arial"/>
          <w:sz w:val="22"/>
          <w:szCs w:val="22"/>
          <w:lang w:val="en-US" w:eastAsia="zh-CN"/>
        </w:rPr>
      </w:pPr>
      <w:r>
        <w:rPr>
          <w:rFonts w:cs="Arial"/>
          <w:sz w:val="22"/>
          <w:szCs w:val="22"/>
          <w:lang w:eastAsia="zh-CN"/>
        </w:rPr>
        <w:t>Title:</w:t>
      </w:r>
      <w:r>
        <w:rPr>
          <w:rFonts w:cs="Arial"/>
          <w:sz w:val="22"/>
          <w:szCs w:val="22"/>
          <w:lang w:val="en-US" w:eastAsia="zh-CN"/>
        </w:rPr>
        <w:tab/>
      </w:r>
      <w:r>
        <w:rPr>
          <w:rFonts w:hint="eastAsia" w:cs="Arial"/>
          <w:sz w:val="22"/>
          <w:szCs w:val="22"/>
          <w:lang w:val="en-US" w:eastAsia="zh-CN"/>
        </w:rPr>
        <w:t>Remaining issues on the beam management for 52.6 to 71 GHz</w:t>
      </w:r>
    </w:p>
    <w:p>
      <w:pPr>
        <w:pStyle w:val="20"/>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r>
      <w:r>
        <w:rPr>
          <w:rFonts w:cs="Arial"/>
          <w:sz w:val="22"/>
          <w:szCs w:val="22"/>
          <w:lang w:eastAsia="zh-CN"/>
        </w:rPr>
        <w:t>ZTE</w:t>
      </w:r>
      <w:r>
        <w:rPr>
          <w:rFonts w:cs="Arial"/>
          <w:sz w:val="22"/>
          <w:szCs w:val="22"/>
          <w:lang w:val="en-US" w:eastAsia="zh-CN"/>
        </w:rPr>
        <w:t>, Sanechips</w:t>
      </w:r>
    </w:p>
    <w:p>
      <w:pPr>
        <w:pStyle w:val="20"/>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hint="eastAsia" w:cs="Arial"/>
          <w:sz w:val="22"/>
          <w:szCs w:val="22"/>
          <w:lang w:val="en-US" w:eastAsia="zh-CN"/>
        </w:rPr>
        <w:t>8.2.4</w:t>
      </w:r>
    </w:p>
    <w:p>
      <w:pPr>
        <w:pStyle w:val="20"/>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r>
      <w:r>
        <w:rPr>
          <w:rFonts w:cs="Arial"/>
          <w:sz w:val="22"/>
          <w:szCs w:val="22"/>
          <w:lang w:eastAsia="zh-CN"/>
        </w:rPr>
        <w:t>Discussion and Decision</w:t>
      </w:r>
    </w:p>
    <w:p>
      <w:pPr>
        <w:pStyle w:val="2"/>
        <w:spacing w:before="120" w:after="120" w:line="240" w:lineRule="auto"/>
        <w:jc w:val="both"/>
        <w:rPr>
          <w:rFonts w:ascii="Times New Roman" w:hAnsi="Times New Roman" w:eastAsia="宋体"/>
          <w:b/>
          <w:sz w:val="32"/>
          <w:szCs w:val="32"/>
          <w:lang w:eastAsia="zh-CN"/>
        </w:rPr>
      </w:pPr>
      <w:r>
        <w:rPr>
          <w:rFonts w:ascii="Times New Roman" w:hAnsi="Times New Roman" w:eastAsia="宋体"/>
          <w:b/>
          <w:sz w:val="32"/>
          <w:szCs w:val="32"/>
          <w:lang w:val="en-US" w:eastAsia="zh-CN"/>
        </w:rPr>
        <w:t xml:space="preserve"> </w:t>
      </w:r>
      <w:r>
        <w:rPr>
          <w:rFonts w:ascii="Times New Roman" w:hAnsi="Times New Roman" w:eastAsia="宋体"/>
          <w:b/>
          <w:sz w:val="32"/>
          <w:szCs w:val="32"/>
          <w:lang w:eastAsia="zh-CN"/>
        </w:rPr>
        <w:t>Introduction</w:t>
      </w:r>
    </w:p>
    <w:p>
      <w:pPr>
        <w:keepNext w:val="0"/>
        <w:keepLines w:val="0"/>
        <w:pageBreakBefore w:val="0"/>
        <w:widowControl/>
        <w:kinsoku/>
        <w:wordWrap/>
        <w:overflowPunct/>
        <w:topLinePunct w:val="0"/>
        <w:autoSpaceDE/>
        <w:autoSpaceDN/>
        <w:bidi w:val="0"/>
        <w:adjustRightInd/>
        <w:snapToGrid w:val="0"/>
        <w:spacing w:before="120" w:beforeLines="50" w:after="120" w:afterLines="50" w:line="260" w:lineRule="auto"/>
        <w:jc w:val="both"/>
        <w:textAlignment w:val="auto"/>
        <w:rPr>
          <w:rFonts w:hint="default" w:eastAsia="宋体"/>
          <w:lang w:val="en-US" w:eastAsia="zh-CN"/>
        </w:rPr>
      </w:pPr>
      <w:r>
        <w:rPr>
          <w:rFonts w:hint="eastAsia" w:eastAsia="宋体"/>
          <w:sz w:val="21"/>
          <w:szCs w:val="21"/>
          <w:lang w:val="en-US" w:eastAsia="zh-CN"/>
        </w:rPr>
        <w:t xml:space="preserve">After the last RAN1 meeting during Rel-17 </w:t>
      </w:r>
      <w:r>
        <w:rPr>
          <w:rFonts w:hint="eastAsia" w:eastAsia="宋体"/>
          <w:b w:val="0"/>
          <w:bCs w:val="0"/>
          <w:color w:val="000000"/>
          <w:sz w:val="21"/>
          <w:szCs w:val="21"/>
          <w:lang w:val="en-US" w:eastAsia="zh-CN"/>
        </w:rPr>
        <w:t>NR_ext_to_71GHz</w:t>
      </w:r>
      <w:r>
        <w:rPr>
          <w:rFonts w:hint="eastAsia" w:eastAsia="宋体"/>
          <w:sz w:val="21"/>
          <w:szCs w:val="21"/>
          <w:lang w:val="en-US" w:eastAsia="zh-CN"/>
        </w:rPr>
        <w:t xml:space="preserve"> WI phase, namely RAN1 #107 e-meeting, all formal RAN1 discussions on Rel-17 NR above 52.6GHz including </w:t>
      </w:r>
      <w:r>
        <w:rPr>
          <w:rFonts w:hint="eastAsia" w:eastAsia="宋体"/>
          <w:lang w:val="en-US" w:eastAsia="zh-CN"/>
        </w:rPr>
        <w:t>beam management</w:t>
      </w:r>
      <w:r>
        <w:rPr>
          <w:rFonts w:hint="eastAsia" w:eastAsia="宋体"/>
          <w:sz w:val="21"/>
          <w:szCs w:val="21"/>
          <w:lang w:val="en-US" w:eastAsia="zh-CN"/>
        </w:rPr>
        <w:t xml:space="preserve"> had been finished.</w:t>
      </w:r>
      <w:r>
        <w:rPr>
          <w:rFonts w:hint="eastAsia"/>
          <w:sz w:val="21"/>
          <w:szCs w:val="21"/>
        </w:rPr>
        <w:t xml:space="preserve"> </w:t>
      </w:r>
      <w:r>
        <w:rPr>
          <w:rFonts w:hint="eastAsia" w:eastAsia="宋体"/>
          <w:sz w:val="21"/>
          <w:szCs w:val="21"/>
          <w:lang w:val="en-US" w:eastAsia="zh-CN"/>
        </w:rPr>
        <w:t>After the meeting, t</w:t>
      </w:r>
      <w:r>
        <w:rPr>
          <w:rFonts w:hint="eastAsia"/>
          <w:sz w:val="21"/>
          <w:szCs w:val="21"/>
        </w:rPr>
        <w:t xml:space="preserve">he </w:t>
      </w:r>
      <w:r>
        <w:rPr>
          <w:rFonts w:hint="eastAsia" w:eastAsia="宋体"/>
          <w:sz w:val="21"/>
          <w:szCs w:val="21"/>
          <w:lang w:val="en-US" w:eastAsia="zh-CN"/>
        </w:rPr>
        <w:t xml:space="preserve">CRs </w:t>
      </w:r>
      <w:r>
        <w:rPr>
          <w:rFonts w:hint="eastAsia"/>
          <w:sz w:val="21"/>
          <w:szCs w:val="21"/>
        </w:rPr>
        <w:t xml:space="preserve">of </w:t>
      </w:r>
      <w:r>
        <w:rPr>
          <w:rFonts w:hint="eastAsia" w:eastAsia="宋体"/>
          <w:sz w:val="21"/>
          <w:szCs w:val="21"/>
          <w:lang w:val="en-US" w:eastAsia="zh-CN"/>
        </w:rPr>
        <w:t>PHY</w:t>
      </w:r>
      <w:r>
        <w:rPr>
          <w:rFonts w:hint="eastAsia"/>
          <w:sz w:val="21"/>
          <w:szCs w:val="21"/>
        </w:rPr>
        <w:t xml:space="preserve"> specifications</w:t>
      </w:r>
      <w:r>
        <w:rPr>
          <w:rFonts w:hint="eastAsia" w:eastAsia="宋体"/>
          <w:sz w:val="21"/>
          <w:szCs w:val="21"/>
          <w:lang w:val="en-US" w:eastAsia="zh-CN"/>
        </w:rPr>
        <w:t xml:space="preserve"> </w:t>
      </w:r>
      <w:r>
        <w:rPr>
          <w:rFonts w:hint="eastAsia"/>
          <w:sz w:val="21"/>
          <w:szCs w:val="21"/>
        </w:rPr>
        <w:t>38.21</w:t>
      </w:r>
      <w:r>
        <w:rPr>
          <w:rFonts w:hint="eastAsia" w:eastAsia="宋体"/>
          <w:sz w:val="21"/>
          <w:szCs w:val="21"/>
          <w:lang w:val="en-US" w:eastAsia="zh-CN"/>
        </w:rPr>
        <w:t xml:space="preserve">1/212/213/214/215 and 37.213 containing Rel-17 NR feature above 52.6GHz </w:t>
      </w:r>
      <w:r>
        <w:rPr>
          <w:rFonts w:hint="eastAsia"/>
          <w:sz w:val="21"/>
          <w:szCs w:val="21"/>
        </w:rPr>
        <w:t>were distributed, discussed</w:t>
      </w:r>
      <w:r>
        <w:rPr>
          <w:rFonts w:hint="eastAsia" w:eastAsia="宋体"/>
          <w:sz w:val="21"/>
          <w:szCs w:val="21"/>
          <w:lang w:val="en-US" w:eastAsia="zh-CN"/>
        </w:rPr>
        <w:t xml:space="preserve"> and </w:t>
      </w:r>
      <w:r>
        <w:rPr>
          <w:rFonts w:hint="eastAsia"/>
          <w:sz w:val="21"/>
          <w:szCs w:val="21"/>
        </w:rPr>
        <w:t>updated</w:t>
      </w:r>
      <w:r>
        <w:rPr>
          <w:rFonts w:hint="eastAsia" w:eastAsia="宋体"/>
          <w:sz w:val="21"/>
          <w:szCs w:val="21"/>
          <w:lang w:val="en-US" w:eastAsia="zh-CN"/>
        </w:rPr>
        <w:t xml:space="preserve"> </w:t>
      </w:r>
      <w:r>
        <w:rPr>
          <w:rFonts w:hint="eastAsia"/>
          <w:sz w:val="21"/>
          <w:szCs w:val="21"/>
        </w:rPr>
        <w:t>by email discussion</w:t>
      </w:r>
      <w:r>
        <w:rPr>
          <w:rFonts w:hint="eastAsia" w:eastAsia="宋体"/>
          <w:sz w:val="21"/>
          <w:szCs w:val="21"/>
          <w:lang w:val="en-US" w:eastAsia="zh-CN"/>
        </w:rPr>
        <w:t xml:space="preserve">, and finally </w:t>
      </w:r>
      <w:r>
        <w:rPr>
          <w:rFonts w:hint="eastAsia"/>
          <w:sz w:val="21"/>
          <w:szCs w:val="21"/>
        </w:rPr>
        <w:t xml:space="preserve">endorsed </w:t>
      </w:r>
      <w:r>
        <w:rPr>
          <w:rFonts w:hint="eastAsia" w:eastAsia="宋体"/>
          <w:sz w:val="21"/>
          <w:szCs w:val="21"/>
          <w:lang w:val="en-US" w:eastAsia="zh-CN"/>
        </w:rPr>
        <w:t xml:space="preserve">at plenary RAN #94 meeting in Dec. 2021. The formal Rel-17 PHY specifications were subsequently released. </w:t>
      </w:r>
      <w:r>
        <w:rPr>
          <w:rFonts w:hint="eastAsia"/>
          <w:sz w:val="21"/>
          <w:szCs w:val="21"/>
          <w:lang w:eastAsia="zh-CN"/>
        </w:rPr>
        <w:t xml:space="preserve">In this </w:t>
      </w:r>
      <w:r>
        <w:rPr>
          <w:sz w:val="21"/>
          <w:szCs w:val="21"/>
          <w:lang w:eastAsia="zh-CN"/>
        </w:rPr>
        <w:t>contribution</w:t>
      </w:r>
      <w:r>
        <w:rPr>
          <w:rFonts w:hint="eastAsia"/>
          <w:sz w:val="21"/>
          <w:szCs w:val="21"/>
          <w:lang w:eastAsia="zh-CN"/>
        </w:rPr>
        <w:t xml:space="preserve">, we provide our views on </w:t>
      </w:r>
      <w:r>
        <w:rPr>
          <w:rFonts w:hint="eastAsia"/>
          <w:sz w:val="21"/>
          <w:szCs w:val="21"/>
          <w:lang w:val="en-US" w:eastAsia="zh-CN"/>
        </w:rPr>
        <w:t xml:space="preserve">maintenance of beam management for Rel-17 NR </w:t>
      </w:r>
      <w:r>
        <w:rPr>
          <w:rFonts w:hint="eastAsia" w:eastAsia="宋体"/>
          <w:sz w:val="21"/>
          <w:szCs w:val="21"/>
          <w:lang w:val="en-US" w:eastAsia="zh-CN"/>
        </w:rPr>
        <w:t>above 52.6GHz.</w:t>
      </w:r>
    </w:p>
    <w:p>
      <w:pPr>
        <w:pStyle w:val="2"/>
        <w:spacing w:before="120" w:after="300" w:line="240" w:lineRule="auto"/>
        <w:ind w:left="448" w:hanging="448"/>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Discussion on beam management</w:t>
      </w:r>
    </w:p>
    <w:p>
      <w:pPr>
        <w:pStyle w:val="3"/>
        <w:numPr>
          <w:ilvl w:val="255"/>
          <w:numId w:val="0"/>
        </w:numPr>
        <w:snapToGrid w:val="0"/>
        <w:spacing w:after="240" w:line="260" w:lineRule="auto"/>
        <w:rPr>
          <w:rFonts w:ascii="Times New Roman" w:hAnsi="Times New Roman" w:eastAsia="宋体"/>
          <w:b/>
          <w:bCs w:val="0"/>
          <w:color w:val="auto"/>
          <w:sz w:val="24"/>
          <w:szCs w:val="24"/>
          <w:lang w:val="en-US" w:eastAsia="zh-CN"/>
        </w:rPr>
      </w:pPr>
      <w:r>
        <w:rPr>
          <w:rFonts w:hint="eastAsia" w:ascii="Times New Roman" w:hAnsi="Times New Roman"/>
          <w:b/>
          <w:bCs w:val="0"/>
          <w:color w:val="auto"/>
          <w:sz w:val="24"/>
          <w:szCs w:val="24"/>
          <w:lang w:val="en-US" w:eastAsia="zh-CN"/>
        </w:rPr>
        <w:t xml:space="preserve">2.1 </w:t>
      </w:r>
      <w:r>
        <w:rPr>
          <w:rFonts w:hint="eastAsia" w:ascii="Times New Roman" w:hAnsi="Times New Roman"/>
          <w:b/>
          <w:bCs w:val="0"/>
          <w:color w:val="auto"/>
          <w:sz w:val="24"/>
          <w:szCs w:val="24"/>
          <w:lang w:val="en-US" w:eastAsia="zh"/>
        </w:rPr>
        <w:t>QCL assumptions</w:t>
      </w:r>
      <w:r>
        <w:rPr>
          <w:rFonts w:hint="eastAsia" w:ascii="Times New Roman" w:hAnsi="Times New Roman"/>
          <w:b/>
          <w:bCs w:val="0"/>
          <w:color w:val="auto"/>
          <w:sz w:val="24"/>
          <w:szCs w:val="24"/>
          <w:lang w:val="en-US"/>
        </w:rPr>
        <w:t xml:space="preserve"> for multiple</w:t>
      </w:r>
      <w:r>
        <w:rPr>
          <w:rFonts w:hint="eastAsia" w:ascii="Times New Roman" w:hAnsi="Times New Roman" w:eastAsia="宋体"/>
          <w:b/>
          <w:bCs w:val="0"/>
          <w:color w:val="auto"/>
          <w:sz w:val="24"/>
          <w:szCs w:val="24"/>
          <w:lang w:val="en-US" w:eastAsia="zh-CN"/>
        </w:rPr>
        <w:t xml:space="preserve"> </w:t>
      </w:r>
      <w:r>
        <w:rPr>
          <w:rFonts w:hint="eastAsia" w:ascii="Times New Roman" w:hAnsi="Times New Roman"/>
          <w:b/>
          <w:bCs w:val="0"/>
          <w:color w:val="auto"/>
          <w:sz w:val="24"/>
          <w:szCs w:val="24"/>
          <w:lang w:val="en-US"/>
        </w:rPr>
        <w:t>PDSCHs</w:t>
      </w:r>
      <w:r>
        <w:rPr>
          <w:rFonts w:hint="eastAsia" w:ascii="Times New Roman" w:hAnsi="Times New Roman" w:eastAsia="宋体"/>
          <w:b/>
          <w:bCs w:val="0"/>
          <w:color w:val="auto"/>
          <w:sz w:val="24"/>
          <w:szCs w:val="24"/>
          <w:lang w:val="en-US" w:eastAsia="zh-CN"/>
        </w:rPr>
        <w:t xml:space="preserve"> scheduled by a single DCI</w:t>
      </w:r>
    </w:p>
    <w:p>
      <w:pPr>
        <w:keepNext w:val="0"/>
        <w:keepLines w:val="0"/>
        <w:pageBreakBefore w:val="0"/>
        <w:widowControl/>
        <w:kinsoku/>
        <w:wordWrap/>
        <w:overflowPunct/>
        <w:topLinePunct w:val="0"/>
        <w:autoSpaceDE/>
        <w:autoSpaceDN/>
        <w:bidi w:val="0"/>
        <w:adjustRightInd/>
        <w:snapToGrid/>
        <w:spacing w:after="180" w:line="260" w:lineRule="auto"/>
        <w:ind w:left="0" w:firstLine="0" w:firstLineChars="0"/>
        <w:jc w:val="both"/>
        <w:textAlignment w:val="auto"/>
        <w:rPr>
          <w:rFonts w:hint="eastAsia" w:eastAsia="바탕"/>
          <w:sz w:val="21"/>
          <w:szCs w:val="21"/>
          <w:lang w:val="en-US" w:eastAsia="zh"/>
        </w:rPr>
      </w:pPr>
      <w:r>
        <w:rPr>
          <w:rFonts w:hint="eastAsia" w:eastAsia="宋体"/>
          <w:sz w:val="21"/>
          <w:szCs w:val="21"/>
          <w:lang w:val="en-US" w:eastAsia="zh-CN"/>
        </w:rPr>
        <w:t xml:space="preserve">After </w:t>
      </w:r>
      <w:r>
        <w:rPr>
          <w:rFonts w:hint="eastAsia" w:eastAsia="宋体"/>
          <w:sz w:val="21"/>
          <w:szCs w:val="21"/>
          <w:lang w:val="en-US" w:eastAsia="zh"/>
        </w:rPr>
        <w:t>RAN1#107-e me</w:t>
      </w:r>
      <w:r>
        <w:rPr>
          <w:rFonts w:hint="eastAsia" w:eastAsia="宋体"/>
          <w:sz w:val="21"/>
          <w:szCs w:val="21"/>
          <w:lang w:val="en-US" w:eastAsia="zh-CN"/>
        </w:rPr>
        <w:t>eting,</w:t>
      </w:r>
      <w:r>
        <w:rPr>
          <w:rFonts w:hint="eastAsia" w:eastAsia="宋体"/>
          <w:sz w:val="21"/>
          <w:szCs w:val="21"/>
          <w:lang w:val="en-US" w:eastAsia="zh"/>
        </w:rPr>
        <w:t xml:space="preserve"> </w:t>
      </w:r>
      <w:r>
        <w:rPr>
          <w:rFonts w:eastAsia="바탕"/>
          <w:sz w:val="21"/>
          <w:szCs w:val="21"/>
          <w:lang w:eastAsia="ko-KR"/>
        </w:rPr>
        <w:t xml:space="preserve">the following two alternatives on update of activated TCI states </w:t>
      </w:r>
      <w:r>
        <w:rPr>
          <w:rFonts w:hint="eastAsia" w:eastAsia="바탕"/>
          <w:sz w:val="21"/>
          <w:szCs w:val="21"/>
          <w:lang w:val="en-US" w:eastAsia="zh"/>
        </w:rPr>
        <w:t xml:space="preserve">for multiple PDSCHs scheduled by a single DCI </w:t>
      </w:r>
      <w:r>
        <w:rPr>
          <w:rFonts w:eastAsia="바탕"/>
          <w:sz w:val="21"/>
          <w:szCs w:val="21"/>
          <w:lang w:eastAsia="ko-KR"/>
        </w:rPr>
        <w:t>were discussed</w:t>
      </w:r>
      <w:r>
        <w:rPr>
          <w:rFonts w:hint="eastAsia" w:eastAsia="바탕"/>
          <w:sz w:val="21"/>
          <w:szCs w:val="21"/>
          <w:lang w:val="en-US" w:eastAsia="zh"/>
        </w:rPr>
        <w:t xml:space="preserve"> d</w:t>
      </w:r>
      <w:r>
        <w:rPr>
          <w:rFonts w:eastAsia="바탕"/>
          <w:sz w:val="21"/>
          <w:szCs w:val="21"/>
          <w:lang w:eastAsia="ko-KR"/>
        </w:rPr>
        <w:t xml:space="preserve">uring draft CR discussion </w:t>
      </w:r>
      <w:r>
        <w:rPr>
          <w:rFonts w:hint="eastAsia" w:eastAsia="바탕"/>
          <w:sz w:val="21"/>
          <w:szCs w:val="21"/>
          <w:lang w:val="en-US" w:eastAsia="zh"/>
        </w:rPr>
        <w:t>phase:</w:t>
      </w:r>
    </w:p>
    <w:p>
      <w:pPr>
        <w:keepNext w:val="0"/>
        <w:keepLines w:val="0"/>
        <w:pageBreakBefore w:val="0"/>
        <w:widowControl/>
        <w:numPr>
          <w:ilvl w:val="0"/>
          <w:numId w:val="11"/>
        </w:numPr>
        <w:kinsoku/>
        <w:wordWrap/>
        <w:overflowPunct/>
        <w:topLinePunct w:val="0"/>
        <w:autoSpaceDE/>
        <w:autoSpaceDN/>
        <w:bidi w:val="0"/>
        <w:adjustRightInd/>
        <w:snapToGrid/>
        <w:spacing w:after="180" w:line="260" w:lineRule="auto"/>
        <w:ind w:left="420" w:leftChars="0" w:hanging="420" w:firstLineChars="0"/>
        <w:jc w:val="both"/>
        <w:textAlignment w:val="auto"/>
        <w:rPr>
          <w:rFonts w:ascii="Times New Roman" w:hAnsi="Times New Roman"/>
          <w:sz w:val="21"/>
          <w:szCs w:val="21"/>
          <w:lang w:val="en-GB" w:eastAsia="ko-KR"/>
        </w:rPr>
      </w:pPr>
      <w:r>
        <w:rPr>
          <w:rFonts w:hint="eastAsia" w:ascii="Times New Roman" w:hAnsi="Times New Roman"/>
          <w:sz w:val="21"/>
          <w:szCs w:val="21"/>
          <w:lang w:val="en-GB" w:eastAsia="ko-KR"/>
        </w:rPr>
        <w:t>A</w:t>
      </w:r>
      <w:r>
        <w:rPr>
          <w:rFonts w:ascii="Times New Roman" w:hAnsi="Times New Roman"/>
          <w:sz w:val="21"/>
          <w:szCs w:val="21"/>
          <w:lang w:val="en-GB" w:eastAsia="ko-KR"/>
        </w:rPr>
        <w:t xml:space="preserve">lt 1: When the UE is configured with a single slot PDSCH </w:t>
      </w:r>
      <w:r>
        <w:rPr>
          <w:rFonts w:ascii="Times New Roman" w:hAnsi="Times New Roman"/>
          <w:color w:val="FF0000"/>
          <w:sz w:val="21"/>
          <w:szCs w:val="21"/>
          <w:lang w:val="en-GB" w:eastAsia="ko-KR"/>
        </w:rPr>
        <w:t>or the UE is configured with higher layer parameter [</w:t>
      </w:r>
      <w:r>
        <w:rPr>
          <w:rFonts w:ascii="Times New Roman" w:hAnsi="Times New Roman"/>
          <w:i/>
          <w:iCs/>
          <w:color w:val="FF0000"/>
          <w:sz w:val="21"/>
          <w:szCs w:val="21"/>
          <w:lang w:val="en-GB" w:eastAsia="ko-KR"/>
        </w:rPr>
        <w:t>pdsch-TimeDomainAllocationListForMultiPDSCH-r17</w:t>
      </w:r>
      <w:r>
        <w:rPr>
          <w:rFonts w:ascii="Times New Roman" w:hAnsi="Times New Roman"/>
          <w:color w:val="FF0000"/>
          <w:sz w:val="21"/>
          <w:szCs w:val="21"/>
          <w:lang w:val="en-GB" w:eastAsia="ko-KR"/>
        </w:rPr>
        <w:t>]</w:t>
      </w:r>
      <w:r>
        <w:rPr>
          <w:rFonts w:ascii="Times New Roman" w:hAnsi="Times New Roman"/>
          <w:sz w:val="21"/>
          <w:szCs w:val="21"/>
          <w:lang w:val="en-GB" w:eastAsia="ko-KR"/>
        </w:rPr>
        <w:t>,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w:t>
      </w:r>
    </w:p>
    <w:p>
      <w:pPr>
        <w:keepNext w:val="0"/>
        <w:keepLines w:val="0"/>
        <w:pageBreakBefore w:val="0"/>
        <w:widowControl/>
        <w:numPr>
          <w:ilvl w:val="0"/>
          <w:numId w:val="11"/>
        </w:numPr>
        <w:kinsoku/>
        <w:wordWrap/>
        <w:overflowPunct/>
        <w:topLinePunct w:val="0"/>
        <w:autoSpaceDE/>
        <w:autoSpaceDN/>
        <w:bidi w:val="0"/>
        <w:adjustRightInd/>
        <w:snapToGrid/>
        <w:spacing w:after="180" w:line="260" w:lineRule="auto"/>
        <w:ind w:left="420" w:leftChars="0" w:hanging="420" w:firstLineChars="0"/>
        <w:jc w:val="both"/>
        <w:textAlignment w:val="auto"/>
        <w:rPr>
          <w:rFonts w:ascii="Times New Roman" w:hAnsi="Times New Roman"/>
          <w:sz w:val="21"/>
          <w:szCs w:val="21"/>
          <w:lang w:val="en-GB" w:eastAsia="ko-KR"/>
        </w:rPr>
      </w:pPr>
      <w:r>
        <w:rPr>
          <w:rFonts w:ascii="Times New Roman" w:hAnsi="Times New Roman"/>
          <w:sz w:val="21"/>
          <w:szCs w:val="21"/>
          <w:lang w:val="en-GB" w:eastAsia="ko-KR"/>
        </w:rPr>
        <w:t>Alt 2</w:t>
      </w:r>
      <w:r>
        <w:rPr>
          <w:rFonts w:hint="eastAsia" w:ascii="Times New Roman" w:hAnsi="Times New Roman" w:eastAsia="宋体"/>
          <w:sz w:val="21"/>
          <w:szCs w:val="21"/>
          <w:lang w:val="en-US" w:eastAsia="zh-CN"/>
        </w:rPr>
        <w:t xml:space="preserve"> (</w:t>
      </w:r>
      <w:r>
        <w:rPr>
          <w:rFonts w:hint="default" w:ascii="Times New Roman" w:hAnsi="Times New Roman" w:eastAsia="Malgun Gothic" w:cs="Times New Roman"/>
          <w:sz w:val="21"/>
          <w:szCs w:val="21"/>
        </w:rPr>
        <w:t>Proposal 2.1-</w:t>
      </w:r>
      <w:r>
        <w:rPr>
          <w:rFonts w:hint="eastAsia" w:eastAsia="Malgun Gothic" w:cs="Times New Roman"/>
          <w:sz w:val="21"/>
          <w:szCs w:val="21"/>
          <w:lang w:val="en-US" w:eastAsia="zh-CN"/>
        </w:rPr>
        <w:t>b</w:t>
      </w:r>
      <w:r>
        <w:rPr>
          <w:rFonts w:hint="eastAsia" w:ascii="Times New Roman" w:hAnsi="Times New Roman" w:eastAsia="宋体"/>
          <w:sz w:val="21"/>
          <w:szCs w:val="21"/>
          <w:lang w:val="en-US" w:eastAsia="zh-CN"/>
        </w:rPr>
        <w:t>)</w:t>
      </w:r>
      <w:r>
        <w:rPr>
          <w:rFonts w:ascii="Times New Roman" w:hAnsi="Times New Roman"/>
          <w:sz w:val="21"/>
          <w:szCs w:val="21"/>
          <w:lang w:val="en-GB" w:eastAsia="ko-KR"/>
        </w:rPr>
        <w:t xml:space="preserve">: When the UE is configured with a single slot PDSCH, the indicated TCI state should be based on the activated TCI states in the slot with the scheduled PDSCH. When the UE is configured with a multi-slot PDSCH </w:t>
      </w:r>
      <w:r>
        <w:rPr>
          <w:rFonts w:ascii="Times New Roman" w:hAnsi="Times New Roman"/>
          <w:color w:val="FF0000"/>
          <w:sz w:val="21"/>
          <w:szCs w:val="21"/>
          <w:lang w:val="en-GB" w:eastAsia="ko-KR"/>
        </w:rPr>
        <w:t xml:space="preserve">or the UE is configured with higher </w:t>
      </w:r>
      <w:r>
        <w:rPr>
          <w:rFonts w:hint="eastAsia" w:ascii="Times New Roman" w:hAnsi="Times New Roman" w:eastAsia="宋体"/>
          <w:color w:val="FF0000"/>
          <w:sz w:val="21"/>
          <w:szCs w:val="21"/>
          <w:lang w:val="en-US" w:eastAsia="zh-CN"/>
        </w:rPr>
        <w:t>l</w:t>
      </w:r>
      <w:r>
        <w:rPr>
          <w:rFonts w:ascii="Times New Roman" w:hAnsi="Times New Roman"/>
          <w:color w:val="FF0000"/>
          <w:sz w:val="21"/>
          <w:szCs w:val="21"/>
          <w:lang w:val="en-GB" w:eastAsia="ko-KR"/>
        </w:rPr>
        <w:t>ayer parameter [</w:t>
      </w:r>
      <w:r>
        <w:rPr>
          <w:rFonts w:ascii="Times New Roman" w:hAnsi="Times New Roman"/>
          <w:i/>
          <w:color w:val="FF0000"/>
          <w:sz w:val="21"/>
          <w:szCs w:val="21"/>
          <w:lang w:val="en-GB" w:eastAsia="ko-KR"/>
        </w:rPr>
        <w:t>pdsch-TimeDomainAllocationListForMultiPDSCH-r17</w:t>
      </w:r>
      <w:r>
        <w:rPr>
          <w:rFonts w:ascii="Times New Roman" w:hAnsi="Times New Roman"/>
          <w:color w:val="FF0000"/>
          <w:sz w:val="21"/>
          <w:szCs w:val="21"/>
          <w:lang w:val="en-GB" w:eastAsia="ko-KR"/>
        </w:rPr>
        <w:t>]</w:t>
      </w:r>
      <w:r>
        <w:rPr>
          <w:rFonts w:ascii="Times New Roman" w:hAnsi="Times New Roman"/>
          <w:sz w:val="21"/>
          <w:szCs w:val="21"/>
          <w:lang w:val="en-GB" w:eastAsia="ko-KR"/>
        </w:rPr>
        <w:t>, the indicated TCI state should be based on the activated TCI states in the first slot with the scheduled PDSCH, and UE shall expect the activated TCI states are the same across the slots with the scheduled PDSCH.</w:t>
      </w:r>
    </w:p>
    <w:p>
      <w:pPr>
        <w:keepNext w:val="0"/>
        <w:keepLines w:val="0"/>
        <w:pageBreakBefore w:val="0"/>
        <w:widowControl/>
        <w:kinsoku/>
        <w:wordWrap/>
        <w:overflowPunct/>
        <w:topLinePunct w:val="0"/>
        <w:autoSpaceDE/>
        <w:autoSpaceDN/>
        <w:bidi w:val="0"/>
        <w:adjustRightInd/>
        <w:snapToGrid/>
        <w:spacing w:after="180" w:line="260" w:lineRule="auto"/>
        <w:jc w:val="both"/>
        <w:textAlignment w:val="auto"/>
        <w:rPr>
          <w:rFonts w:hint="eastAsia" w:eastAsia="바탕"/>
          <w:sz w:val="21"/>
          <w:szCs w:val="21"/>
          <w:lang w:val="en-US" w:eastAsia="zh-CN"/>
        </w:rPr>
      </w:pPr>
      <w:r>
        <w:rPr>
          <w:rFonts w:hint="eastAsia" w:eastAsia="바탕"/>
          <w:sz w:val="21"/>
          <w:szCs w:val="21"/>
          <w:lang w:val="en-US" w:eastAsia="zh"/>
        </w:rPr>
        <w:t xml:space="preserve">In RAN1#107bis-e meeting, above two alternatives were further discussed </w:t>
      </w:r>
      <w:r>
        <w:rPr>
          <w:rFonts w:hint="eastAsia" w:eastAsia="바탕"/>
          <w:sz w:val="21"/>
          <w:szCs w:val="21"/>
          <w:lang w:val="en-US" w:eastAsia="zh-CN"/>
        </w:rPr>
        <w:t>and another alternative as follows was proposed, but no conclusion was reached.</w:t>
      </w:r>
    </w:p>
    <w:p>
      <w:pPr>
        <w:keepNext w:val="0"/>
        <w:keepLines w:val="0"/>
        <w:pageBreakBefore w:val="0"/>
        <w:widowControl/>
        <w:numPr>
          <w:ilvl w:val="0"/>
          <w:numId w:val="12"/>
        </w:numPr>
        <w:kinsoku/>
        <w:wordWrap/>
        <w:overflowPunct/>
        <w:topLinePunct w:val="0"/>
        <w:autoSpaceDE/>
        <w:autoSpaceDN/>
        <w:bidi w:val="0"/>
        <w:adjustRightInd/>
        <w:snapToGrid/>
        <w:spacing w:after="180" w:line="260" w:lineRule="auto"/>
        <w:ind w:left="420" w:leftChars="0" w:hanging="420" w:firstLineChars="0"/>
        <w:jc w:val="both"/>
        <w:textAlignment w:val="auto"/>
        <w:rPr>
          <w:rFonts w:hint="default" w:ascii="Times New Roman" w:hAnsi="Times New Roman" w:eastAsia="바탕" w:cs="Times New Roman"/>
          <w:sz w:val="21"/>
          <w:szCs w:val="21"/>
          <w:lang w:val="en-US" w:eastAsia="zh-CN"/>
        </w:rPr>
      </w:pPr>
      <w:r>
        <w:rPr>
          <w:rFonts w:hint="default" w:ascii="Times New Roman" w:hAnsi="Times New Roman" w:eastAsia="바탕" w:cs="Times New Roman"/>
          <w:sz w:val="21"/>
          <w:szCs w:val="21"/>
          <w:lang w:val="en-US" w:eastAsia="zh-CN"/>
        </w:rPr>
        <w:t>Alt 3 (</w:t>
      </w:r>
      <w:r>
        <w:rPr>
          <w:rFonts w:hint="default" w:ascii="Times New Roman" w:hAnsi="Times New Roman" w:eastAsia="Malgun Gothic" w:cs="Times New Roman"/>
          <w:sz w:val="21"/>
          <w:szCs w:val="21"/>
        </w:rPr>
        <w:t>Proposal 2.1-e</w:t>
      </w:r>
      <w:r>
        <w:rPr>
          <w:rFonts w:hint="default" w:ascii="Times New Roman" w:hAnsi="Times New Roman" w:eastAsia="바탕" w:cs="Times New Roman"/>
          <w:sz w:val="21"/>
          <w:szCs w:val="21"/>
          <w:lang w:val="en-US" w:eastAsia="zh-CN"/>
        </w:rPr>
        <w:t xml:space="preserve">): </w:t>
      </w:r>
      <w:r>
        <w:rPr>
          <w:rFonts w:hint="default" w:ascii="Times New Roman" w:hAnsi="Times New Roman" w:cs="Times New Roman"/>
          <w:color w:val="000000"/>
          <w:sz w:val="21"/>
          <w:szCs w:val="21"/>
          <w:lang w:val="en-GB"/>
        </w:rPr>
        <w:t xml:space="preserve"> When the UE is configured with a single slot PDSCH, the indicated TCI state </w:t>
      </w:r>
      <w:r>
        <w:rPr>
          <w:rFonts w:hint="default" w:ascii="Times New Roman" w:hAnsi="Times New Roman" w:cs="Times New Roman"/>
          <w:sz w:val="21"/>
          <w:szCs w:val="21"/>
          <w:lang w:val="en-GB"/>
        </w:rPr>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Pr>
          <w:rFonts w:hint="default" w:ascii="Times New Roman" w:hAnsi="Times New Roman" w:cs="Times New Roman"/>
          <w:color w:val="FF0000"/>
          <w:sz w:val="21"/>
          <w:szCs w:val="21"/>
          <w:lang w:val="en-GB"/>
        </w:rPr>
        <w:t xml:space="preserve">When </w:t>
      </w:r>
      <w:r>
        <w:rPr>
          <w:rFonts w:hint="default" w:ascii="Times New Roman" w:hAnsi="Times New Roman" w:cs="Times New Roman"/>
          <w:color w:val="FF0000"/>
          <w:sz w:val="21"/>
          <w:szCs w:val="21"/>
        </w:rPr>
        <w:t>the UE is configured with higher payer parameter [</w:t>
      </w:r>
      <w:r>
        <w:rPr>
          <w:rFonts w:hint="default" w:ascii="Times New Roman" w:hAnsi="Times New Roman" w:cs="Times New Roman"/>
          <w:i/>
          <w:iCs/>
          <w:color w:val="FF0000"/>
          <w:sz w:val="21"/>
          <w:szCs w:val="21"/>
        </w:rPr>
        <w:t>pdsch-TimeDomainAllocationListForMultiPDSCH-r17</w:t>
      </w:r>
      <w:r>
        <w:rPr>
          <w:rFonts w:hint="default" w:ascii="Times New Roman" w:hAnsi="Times New Roman" w:cs="Times New Roman"/>
          <w:color w:val="FF0000"/>
          <w:sz w:val="21"/>
          <w:szCs w:val="21"/>
        </w:rPr>
        <w:t xml:space="preserve">] and not configured with </w:t>
      </w:r>
      <w:r>
        <w:rPr>
          <w:rFonts w:hint="default" w:ascii="Times New Roman" w:hAnsi="Times New Roman" w:cs="Times New Roman"/>
          <w:color w:val="FF0000"/>
          <w:sz w:val="21"/>
          <w:szCs w:val="21"/>
          <w:lang w:val="en-GB"/>
        </w:rPr>
        <w:t xml:space="preserve">a multi-slot PDSCH, the indicated TCI state should be based on the activated TCI states in the slot corresponding to the first scheduled PDSCH. </w:t>
      </w:r>
    </w:p>
    <w:p>
      <w:pPr>
        <w:keepNext w:val="0"/>
        <w:keepLines w:val="0"/>
        <w:pageBreakBefore w:val="0"/>
        <w:widowControl/>
        <w:kinsoku/>
        <w:wordWrap/>
        <w:overflowPunct/>
        <w:topLinePunct w:val="0"/>
        <w:autoSpaceDE/>
        <w:autoSpaceDN/>
        <w:bidi w:val="0"/>
        <w:adjustRightInd/>
        <w:snapToGrid/>
        <w:spacing w:after="180" w:line="260" w:lineRule="auto"/>
        <w:jc w:val="both"/>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 xml:space="preserve">For Alt 1 and Alt 2, the main difference is whether the indicated TCI state should be determined based on the activated TCI states in the slot of each PDSCH, or based on the activated TCI states in the first slot with scheduled PDSCHs, as reflected in the Alt 1 and Alt 2, respectively. </w:t>
      </w:r>
      <w:r>
        <w:rPr>
          <w:rFonts w:hint="eastAsia" w:ascii="Times New Roman" w:hAnsi="Times New Roman" w:eastAsia="宋体" w:cs="Times New Roman"/>
          <w:sz w:val="21"/>
          <w:szCs w:val="21"/>
          <w:lang w:val="en-US" w:eastAsia="zh-CN"/>
        </w:rPr>
        <w:t>I</w:t>
      </w:r>
      <w:r>
        <w:rPr>
          <w:rFonts w:hint="default" w:ascii="Times New Roman" w:hAnsi="Times New Roman" w:eastAsia="宋体" w:cs="Times New Roman"/>
          <w:sz w:val="21"/>
          <w:szCs w:val="21"/>
        </w:rPr>
        <w:t>n WI</w:t>
      </w:r>
      <w:r>
        <w:rPr>
          <w:rFonts w:hint="default" w:ascii="Times New Roman" w:hAnsi="Times New Roman" w:eastAsia="宋体" w:cs="Times New Roman"/>
          <w:sz w:val="21"/>
          <w:szCs w:val="21"/>
          <w:lang w:val="en-US" w:eastAsia="zh-CN"/>
        </w:rPr>
        <w:t xml:space="preserve"> phase</w:t>
      </w:r>
      <w:r>
        <w:rPr>
          <w:rFonts w:hint="default" w:ascii="Times New Roman" w:hAnsi="Times New Roman" w:eastAsia="宋体" w:cs="Times New Roman"/>
          <w:sz w:val="21"/>
          <w:szCs w:val="21"/>
        </w:rPr>
        <w:t>, w</w:t>
      </w:r>
      <w:r>
        <w:rPr>
          <w:rFonts w:hint="default" w:ascii="Times New Roman" w:hAnsi="Times New Roman" w:cs="Times New Roman"/>
          <w:sz w:val="21"/>
          <w:szCs w:val="21"/>
        </w:rPr>
        <w:t xml:space="preserve">e have agreed to apply single QCL assumption for all scheduled PDSCHs by a single DCI if the offsets for these PDSCHs </w:t>
      </w:r>
      <w:r>
        <w:rPr>
          <w:rFonts w:hint="eastAsia" w:ascii="东文宋体" w:hAnsi="东文宋体" w:eastAsia="东文宋体" w:cs="东文宋体"/>
          <w:sz w:val="21"/>
          <w:szCs w:val="21"/>
        </w:rPr>
        <w:t>≥</w:t>
      </w:r>
      <w:r>
        <w:rPr>
          <w:rFonts w:hint="default" w:ascii="Times New Roman" w:hAnsi="Times New Roman" w:cs="Times New Roman"/>
          <w:sz w:val="21"/>
          <w:szCs w:val="21"/>
        </w:rPr>
        <w:t xml:space="preserve"> timeDurationForQCL (i.e. Case 1-1). For this</w:t>
      </w:r>
      <w:r>
        <w:rPr>
          <w:rFonts w:hint="eastAsia" w:ascii="Times New Roman" w:hAnsi="Times New Roman" w:eastAsia="宋体" w:cs="Times New Roman"/>
          <w:sz w:val="21"/>
          <w:szCs w:val="21"/>
          <w:lang w:val="en-US" w:eastAsia="zh-CN"/>
        </w:rPr>
        <w:t xml:space="preserve"> reason</w:t>
      </w:r>
      <w:r>
        <w:rPr>
          <w:rFonts w:hint="default" w:ascii="Times New Roman" w:hAnsi="Times New Roman" w:cs="Times New Roman"/>
          <w:sz w:val="21"/>
          <w:szCs w:val="21"/>
        </w:rPr>
        <w:t>, we think the indicated TCI state should be based on the activated TCI states in the first slot with the scheduled PDSCH</w:t>
      </w:r>
      <w:r>
        <w:rPr>
          <w:rFonts w:hint="default" w:ascii="Times New Roman" w:hAnsi="Times New Roman" w:eastAsia="宋体" w:cs="Times New Roman"/>
          <w:sz w:val="21"/>
          <w:szCs w:val="21"/>
          <w:lang w:val="en-US" w:eastAsia="zh-CN"/>
        </w:rPr>
        <w:t>s</w:t>
      </w:r>
      <w:r>
        <w:rPr>
          <w:rFonts w:hint="default" w:ascii="Times New Roman" w:hAnsi="Times New Roman" w:cs="Times New Roman"/>
          <w:sz w:val="21"/>
          <w:szCs w:val="21"/>
        </w:rPr>
        <w:t xml:space="preserve">. </w:t>
      </w:r>
      <w:r>
        <w:rPr>
          <w:rFonts w:hint="eastAsia" w:ascii="Times New Roman" w:hAnsi="Times New Roman" w:eastAsia="宋体" w:cs="Times New Roman"/>
          <w:sz w:val="21"/>
          <w:szCs w:val="21"/>
          <w:lang w:val="en-US" w:eastAsia="zh-CN"/>
        </w:rPr>
        <w:t>Furthermore</w:t>
      </w:r>
      <w:r>
        <w:rPr>
          <w:rFonts w:hint="default" w:ascii="Times New Roman" w:hAnsi="Times New Roman" w:cs="Times New Roman"/>
          <w:sz w:val="21"/>
          <w:szCs w:val="21"/>
        </w:rPr>
        <w:t>, the indicated TCI state is applied for all scheduled PDSCHs</w:t>
      </w:r>
      <w:r>
        <w:rPr>
          <w:rFonts w:hint="eastAsia" w:eastAsia="宋体" w:cs="Times New Roman"/>
          <w:sz w:val="21"/>
          <w:szCs w:val="21"/>
          <w:lang w:val="en-US" w:eastAsia="zh-CN"/>
        </w:rPr>
        <w:t xml:space="preserve"> whose offset is larger than timeDurationQCL</w:t>
      </w:r>
      <w:r>
        <w:rPr>
          <w:rFonts w:hint="default" w:ascii="Times New Roman" w:hAnsi="Times New Roman" w:cs="Times New Roman"/>
          <w:sz w:val="21"/>
          <w:szCs w:val="21"/>
        </w:rPr>
        <w:t>. Above rule aligns with the previous agreement. But if the indicated TCI state is based on the activated TCI states in the slot with each scheduled PDSCH, we do not know how a DCI indicates a same TCI state for all these PDSCHs but with different activated TCI states.</w:t>
      </w:r>
      <w:r>
        <w:rPr>
          <w:rFonts w:hint="default" w:ascii="Times New Roman" w:hAnsi="Times New Roman" w:eastAsia="宋体" w:cs="Times New Roman"/>
          <w:sz w:val="21"/>
          <w:szCs w:val="21"/>
          <w:lang w:val="en-US" w:eastAsia="zh-CN"/>
        </w:rPr>
        <w:t xml:space="preserve"> So we think Alt 1 can be precluded.</w:t>
      </w:r>
    </w:p>
    <w:p>
      <w:pPr>
        <w:keepNext w:val="0"/>
        <w:keepLines w:val="0"/>
        <w:pageBreakBefore w:val="0"/>
        <w:widowControl/>
        <w:kinsoku/>
        <w:wordWrap/>
        <w:overflowPunct/>
        <w:topLinePunct w:val="0"/>
        <w:autoSpaceDE/>
        <w:autoSpaceDN/>
        <w:bidi w:val="0"/>
        <w:adjustRightInd/>
        <w:snapToGrid/>
        <w:spacing w:after="180" w:line="260" w:lineRule="auto"/>
        <w:jc w:val="both"/>
        <w:textAlignment w:val="auto"/>
        <w:rPr>
          <w:rFonts w:hint="default" w:ascii="Times New Roman" w:hAnsi="Times New Roman" w:eastAsia="Malgun Gothic" w:cs="Times New Roman"/>
          <w:sz w:val="21"/>
          <w:szCs w:val="21"/>
          <w:lang w:val="en-US" w:eastAsia="zh-CN"/>
        </w:rPr>
      </w:pPr>
      <w:r>
        <w:rPr>
          <w:rFonts w:hint="default" w:ascii="Times New Roman" w:hAnsi="Times New Roman" w:eastAsia="宋体" w:cs="Times New Roman"/>
          <w:sz w:val="21"/>
          <w:szCs w:val="21"/>
          <w:lang w:val="en-US" w:eastAsia="zh-CN"/>
        </w:rPr>
        <w:t xml:space="preserve">For Alt 2 and Alt 3, the main difference is whether to restrict the gNB behavior of </w:t>
      </w:r>
      <w:r>
        <w:rPr>
          <w:rFonts w:hint="default" w:ascii="Times New Roman" w:hAnsi="Times New Roman" w:eastAsia="宋体" w:cs="Times New Roman"/>
          <w:sz w:val="21"/>
          <w:szCs w:val="21"/>
          <w:lang w:val="en-GB"/>
        </w:rPr>
        <w:t>disallowing a MAC-CE update over the span of the multi-PDSCH scheduling</w:t>
      </w:r>
      <w:r>
        <w:rPr>
          <w:rFonts w:hint="default" w:ascii="Times New Roman" w:hAnsi="Times New Roman" w:eastAsia="宋体" w:cs="Times New Roman"/>
          <w:sz w:val="21"/>
          <w:szCs w:val="21"/>
          <w:lang w:val="en-US" w:eastAsia="zh-CN"/>
        </w:rPr>
        <w:t>.</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Malgun Gothic" w:cs="Times New Roman"/>
          <w:sz w:val="21"/>
          <w:szCs w:val="21"/>
          <w:lang w:val="en-US" w:eastAsia="zh-CN"/>
        </w:rPr>
        <w:t>But there is</w:t>
      </w:r>
      <w:r>
        <w:rPr>
          <w:rFonts w:hint="default" w:ascii="Times New Roman" w:hAnsi="Times New Roman" w:eastAsia="Malgun Gothic" w:cs="Times New Roman"/>
          <w:sz w:val="21"/>
          <w:szCs w:val="21"/>
        </w:rPr>
        <w:t xml:space="preserve"> no difference between multi-PDSCH scheduling and multi-slot PDSCH scheduling in terms of the activated TCI state restriction. </w:t>
      </w:r>
      <w:r>
        <w:rPr>
          <w:rFonts w:hint="eastAsia" w:ascii="Times New Roman" w:hAnsi="Times New Roman" w:eastAsia="Malgun Gothic" w:cs="Times New Roman"/>
          <w:sz w:val="21"/>
          <w:szCs w:val="21"/>
          <w:lang w:val="en-US" w:eastAsia="zh-CN"/>
        </w:rPr>
        <w:t>Moreover</w:t>
      </w:r>
      <w:r>
        <w:rPr>
          <w:rFonts w:hint="default" w:ascii="Times New Roman" w:hAnsi="Times New Roman" w:eastAsia="Malgun Gothic" w:cs="Times New Roman"/>
          <w:sz w:val="21"/>
          <w:szCs w:val="21"/>
          <w:lang w:val="en-US" w:eastAsia="zh-CN"/>
        </w:rPr>
        <w:t xml:space="preserve">, the span length </w:t>
      </w:r>
      <w:r>
        <w:rPr>
          <w:rFonts w:hint="default" w:ascii="Times New Roman" w:hAnsi="Times New Roman" w:eastAsia="宋体" w:cs="Times New Roman"/>
          <w:sz w:val="21"/>
          <w:szCs w:val="21"/>
          <w:lang w:val="en-GB"/>
        </w:rPr>
        <w:t>of the multi-PDSCH scheduling</w:t>
      </w:r>
      <w:r>
        <w:rPr>
          <w:rFonts w:hint="default" w:ascii="Times New Roman" w:hAnsi="Times New Roman" w:eastAsia="宋体" w:cs="Times New Roman"/>
          <w:sz w:val="21"/>
          <w:szCs w:val="21"/>
          <w:lang w:val="en-US" w:eastAsia="zh-CN"/>
        </w:rPr>
        <w:t xml:space="preserve"> in FR2-2 is no longer than that of</w:t>
      </w:r>
      <w:r>
        <w:rPr>
          <w:rFonts w:hint="default" w:ascii="Times New Roman" w:hAnsi="Times New Roman" w:eastAsia="Malgun Gothic" w:cs="Times New Roman"/>
          <w:sz w:val="21"/>
          <w:szCs w:val="21"/>
          <w:lang w:val="en-US" w:eastAsia="zh-CN"/>
        </w:rPr>
        <w:t xml:space="preserve"> </w:t>
      </w:r>
      <w:r>
        <w:rPr>
          <w:rFonts w:hint="default" w:ascii="Times New Roman" w:hAnsi="Times New Roman" w:eastAsia="Malgun Gothic" w:cs="Times New Roman"/>
          <w:sz w:val="21"/>
          <w:szCs w:val="21"/>
        </w:rPr>
        <w:t>multi-slot PDSCH scheduling</w:t>
      </w:r>
      <w:r>
        <w:rPr>
          <w:rFonts w:hint="default" w:ascii="Times New Roman" w:hAnsi="Times New Roman" w:eastAsia="Malgun Gothic" w:cs="Times New Roman"/>
          <w:sz w:val="21"/>
          <w:szCs w:val="21"/>
          <w:lang w:val="en-US" w:eastAsia="zh-CN"/>
        </w:rPr>
        <w:t xml:space="preserve"> in FR1/FR2-1. </w:t>
      </w:r>
      <w:r>
        <w:rPr>
          <w:rFonts w:hint="eastAsia" w:ascii="Times New Roman" w:hAnsi="Times New Roman" w:eastAsia="Malgun Gothic" w:cs="Times New Roman"/>
          <w:sz w:val="21"/>
          <w:szCs w:val="21"/>
          <w:lang w:val="en-US" w:eastAsia="zh-CN"/>
        </w:rPr>
        <w:t>There is</w:t>
      </w:r>
      <w:r>
        <w:rPr>
          <w:rFonts w:hint="default" w:ascii="Times New Roman" w:hAnsi="Times New Roman" w:eastAsia="Malgun Gothic" w:cs="Times New Roman"/>
          <w:sz w:val="21"/>
          <w:szCs w:val="21"/>
          <w:lang w:val="en-US" w:eastAsia="zh-CN"/>
        </w:rPr>
        <w:t xml:space="preserve"> no reason to abandon this rule</w:t>
      </w:r>
      <w:r>
        <w:rPr>
          <w:rFonts w:hint="eastAsia" w:ascii="Times New Roman" w:hAnsi="Times New Roman" w:eastAsia="Malgun Gothic" w:cs="Times New Roman"/>
          <w:sz w:val="21"/>
          <w:szCs w:val="21"/>
          <w:lang w:val="en-US" w:eastAsia="zh-CN"/>
        </w:rPr>
        <w:t xml:space="preserve"> in Rel-17 FR2-2. Thus w</w:t>
      </w:r>
      <w:r>
        <w:rPr>
          <w:rFonts w:hint="default" w:ascii="Times New Roman" w:hAnsi="Times New Roman" w:eastAsia="Malgun Gothic" w:cs="Times New Roman"/>
          <w:sz w:val="21"/>
          <w:szCs w:val="21"/>
          <w:lang w:val="en-US" w:eastAsia="zh-CN"/>
        </w:rPr>
        <w:t xml:space="preserve">e should not define </w:t>
      </w:r>
      <w:r>
        <w:rPr>
          <w:rFonts w:hint="default" w:ascii="Times New Roman" w:hAnsi="Times New Roman" w:eastAsia="Malgun Gothic" w:cs="Times New Roman"/>
          <w:sz w:val="21"/>
          <w:szCs w:val="21"/>
        </w:rPr>
        <w:t>different activated TCI states restriction for</w:t>
      </w:r>
      <w:r>
        <w:rPr>
          <w:rFonts w:hint="default" w:ascii="Times New Roman" w:hAnsi="Times New Roman" w:eastAsia="Malgun Gothic" w:cs="Times New Roman"/>
          <w:sz w:val="21"/>
          <w:szCs w:val="21"/>
          <w:lang w:val="en-US" w:eastAsia="zh-CN"/>
        </w:rPr>
        <w:t xml:space="preserve"> above two scheduling types.</w:t>
      </w:r>
    </w:p>
    <w:p>
      <w:pPr>
        <w:keepNext w:val="0"/>
        <w:keepLines w:val="0"/>
        <w:pageBreakBefore w:val="0"/>
        <w:widowControl/>
        <w:kinsoku/>
        <w:wordWrap/>
        <w:overflowPunct/>
        <w:topLinePunct w:val="0"/>
        <w:autoSpaceDE/>
        <w:autoSpaceDN/>
        <w:bidi w:val="0"/>
        <w:adjustRightInd/>
        <w:snapToGrid/>
        <w:spacing w:after="180" w:line="260" w:lineRule="auto"/>
        <w:jc w:val="both"/>
        <w:textAlignment w:val="auto"/>
        <w:rPr>
          <w:rFonts w:hint="default" w:ascii="Times New Roman" w:hAnsi="Times New Roman" w:eastAsia="宋体" w:cs="Times New Roman"/>
          <w:color w:val="auto"/>
          <w:sz w:val="21"/>
          <w:szCs w:val="21"/>
          <w:lang w:val="en-US" w:eastAsia="zh-CN"/>
        </w:rPr>
      </w:pPr>
      <w:r>
        <w:rPr>
          <w:rFonts w:hint="eastAsia" w:eastAsia="宋体" w:cs="Times New Roman"/>
          <w:sz w:val="21"/>
          <w:szCs w:val="21"/>
          <w:lang w:val="en-US" w:eastAsia="zh-CN"/>
        </w:rPr>
        <w:t xml:space="preserve">To sum up, we prefer </w:t>
      </w:r>
      <w:r>
        <w:rPr>
          <w:rFonts w:hint="default" w:ascii="Times New Roman" w:hAnsi="Times New Roman" w:eastAsia="宋体" w:cs="Times New Roman"/>
          <w:sz w:val="21"/>
          <w:szCs w:val="21"/>
          <w:lang w:val="en-US" w:eastAsia="zh-CN"/>
        </w:rPr>
        <w:t>Alt 2</w:t>
      </w:r>
      <w:r>
        <w:rPr>
          <w:rFonts w:hint="eastAsia" w:eastAsia="宋体" w:cs="Times New Roman"/>
          <w:sz w:val="21"/>
          <w:szCs w:val="21"/>
          <w:lang w:val="en-US" w:eastAsia="zh-CN"/>
        </w:rPr>
        <w:t>.</w:t>
      </w:r>
      <w:r>
        <w:rPr>
          <w:rFonts w:hint="default" w:ascii="Times New Roman" w:hAnsi="Times New Roman" w:eastAsia="宋体" w:cs="Times New Roman"/>
          <w:sz w:val="21"/>
          <w:szCs w:val="21"/>
          <w:lang w:val="en-US" w:eastAsia="zh-CN"/>
        </w:rPr>
        <w:t xml:space="preserve"> </w:t>
      </w:r>
      <w:r>
        <w:rPr>
          <w:rFonts w:hint="eastAsia" w:eastAsia="宋体" w:cs="Times New Roman"/>
          <w:sz w:val="21"/>
          <w:szCs w:val="21"/>
          <w:lang w:val="en-US" w:eastAsia="zh-CN"/>
        </w:rPr>
        <w:t xml:space="preserve">However, there is still the </w:t>
      </w:r>
      <w:r>
        <w:rPr>
          <w:rFonts w:hint="default" w:ascii="Times New Roman" w:hAnsi="Times New Roman" w:eastAsia="宋体" w:cs="Times New Roman"/>
          <w:sz w:val="21"/>
          <w:szCs w:val="21"/>
          <w:lang w:val="en-US" w:eastAsia="zh-CN"/>
        </w:rPr>
        <w:t xml:space="preserve">need to make a small wording change to </w:t>
      </w:r>
      <w:r>
        <w:rPr>
          <w:rFonts w:hint="eastAsia" w:ascii="Times New Roman" w:hAnsi="Times New Roman" w:eastAsia="宋体" w:cs="Times New Roman"/>
          <w:sz w:val="21"/>
          <w:szCs w:val="21"/>
          <w:lang w:val="en-US" w:eastAsia="zh-CN"/>
        </w:rPr>
        <w:t>make it</w:t>
      </w:r>
      <w:r>
        <w:rPr>
          <w:rFonts w:hint="default" w:ascii="Times New Roman" w:hAnsi="Times New Roman" w:eastAsia="宋体" w:cs="Times New Roman"/>
          <w:sz w:val="21"/>
          <w:szCs w:val="21"/>
          <w:lang w:val="en-US" w:eastAsia="zh-CN"/>
        </w:rPr>
        <w:t xml:space="preserve"> applicable to both multi-PDSCH scheduling and </w:t>
      </w:r>
      <w:r>
        <w:rPr>
          <w:rFonts w:hint="default" w:ascii="Times New Roman" w:hAnsi="Times New Roman" w:eastAsia="Malgun Gothic" w:cs="Times New Roman"/>
          <w:sz w:val="21"/>
          <w:szCs w:val="21"/>
        </w:rPr>
        <w:t>multi-slot PDSCH scheduling</w:t>
      </w:r>
      <w:r>
        <w:rPr>
          <w:rFonts w:hint="default" w:ascii="Times New Roman" w:hAnsi="Times New Roman" w:eastAsia="Malgun Gothic" w:cs="Times New Roman"/>
          <w:sz w:val="21"/>
          <w:szCs w:val="21"/>
          <w:lang w:val="en-US" w:eastAsia="zh-CN"/>
        </w:rPr>
        <w:t>. For multi-PDSCH scheduling,</w:t>
      </w:r>
      <w:r>
        <w:rPr>
          <w:rFonts w:hint="default" w:ascii="Times New Roman" w:hAnsi="Times New Roman" w:eastAsia="宋体" w:cs="Times New Roman"/>
          <w:sz w:val="21"/>
          <w:szCs w:val="21"/>
          <w:lang w:val="en-US" w:eastAsia="zh-CN"/>
        </w:rPr>
        <w:t xml:space="preserve"> </w:t>
      </w:r>
      <w:r>
        <w:rPr>
          <w:rFonts w:hint="default" w:ascii="Times New Roman" w:hAnsi="Times New Roman" w:cs="Times New Roman"/>
          <w:sz w:val="21"/>
          <w:szCs w:val="21"/>
        </w:rPr>
        <w:t>the indicated TCI state should be based on the activated TCI states in the first slot wit</w:t>
      </w:r>
      <w:r>
        <w:rPr>
          <w:rFonts w:hint="default" w:ascii="Times New Roman" w:hAnsi="Times New Roman" w:cs="Times New Roman"/>
          <w:color w:val="auto"/>
          <w:sz w:val="21"/>
          <w:szCs w:val="21"/>
        </w:rPr>
        <w:t xml:space="preserve">h </w:t>
      </w:r>
      <w:r>
        <w:rPr>
          <w:rFonts w:hint="default" w:ascii="Times New Roman" w:hAnsi="Times New Roman" w:eastAsia="宋体" w:cs="Times New Roman"/>
          <w:color w:val="auto"/>
          <w:sz w:val="21"/>
          <w:szCs w:val="21"/>
          <w:lang w:val="en-US" w:eastAsia="zh-CN"/>
        </w:rPr>
        <w:t xml:space="preserve">all </w:t>
      </w:r>
      <w:r>
        <w:rPr>
          <w:rFonts w:hint="default" w:ascii="Times New Roman" w:hAnsi="Times New Roman" w:cs="Times New Roman"/>
          <w:color w:val="auto"/>
          <w:sz w:val="21"/>
          <w:szCs w:val="21"/>
        </w:rPr>
        <w:t>scheduled PDSCH</w:t>
      </w:r>
      <w:r>
        <w:rPr>
          <w:rFonts w:hint="default" w:ascii="Times New Roman" w:hAnsi="Times New Roman" w:eastAsia="宋体" w:cs="Times New Roman"/>
          <w:color w:val="auto"/>
          <w:sz w:val="21"/>
          <w:szCs w:val="21"/>
          <w:lang w:val="en-US" w:eastAsia="zh-CN"/>
        </w:rPr>
        <w:t>s, not each PDSCH.</w:t>
      </w:r>
      <w:r>
        <w:rPr>
          <w:rFonts w:hint="default" w:ascii="Times New Roman" w:hAnsi="Times New Roman" w:eastAsia="宋体" w:cs="Times New Roman"/>
          <w:sz w:val="21"/>
          <w:szCs w:val="21"/>
          <w:lang w:val="en-US" w:eastAsia="zh-CN"/>
        </w:rPr>
        <w:t xml:space="preserve"> </w:t>
      </w:r>
      <w:r>
        <w:rPr>
          <w:rFonts w:hint="eastAsia" w:ascii="Times New Roman" w:hAnsi="Times New Roman" w:eastAsia="宋体" w:cs="Times New Roman"/>
          <w:sz w:val="21"/>
          <w:szCs w:val="21"/>
          <w:lang w:val="en-US" w:eastAsia="zh-CN"/>
        </w:rPr>
        <w:t xml:space="preserve">So </w:t>
      </w:r>
      <w:r>
        <w:rPr>
          <w:rFonts w:hint="default" w:ascii="Times New Roman" w:hAnsi="Times New Roman" w:eastAsia="宋体" w:cs="Times New Roman"/>
          <w:sz w:val="21"/>
          <w:szCs w:val="21"/>
          <w:lang w:val="en-US" w:eastAsia="zh-CN"/>
        </w:rPr>
        <w:t xml:space="preserve">“... </w:t>
      </w:r>
      <w:r>
        <w:rPr>
          <w:rFonts w:hint="default" w:ascii="Times New Roman" w:hAnsi="Times New Roman" w:cs="Times New Roman"/>
          <w:sz w:val="21"/>
          <w:szCs w:val="21"/>
          <w:lang w:val="en-GB"/>
        </w:rPr>
        <w:t>in the first slot with the scheduled PDSCH</w:t>
      </w:r>
      <w:r>
        <w:rPr>
          <w:rFonts w:hint="default" w:ascii="Times New Roman" w:hAnsi="Times New Roman" w:eastAsia="宋体" w:cs="Times New Roman"/>
          <w:color w:val="FF0000"/>
          <w:sz w:val="21"/>
          <w:szCs w:val="21"/>
          <w:lang w:val="en-US" w:eastAsia="zh-CN"/>
        </w:rPr>
        <w:t>(s)</w:t>
      </w:r>
      <w:r>
        <w:rPr>
          <w:rFonts w:hint="default" w:ascii="Times New Roman" w:hAnsi="Times New Roman" w:eastAsia="宋体" w:cs="Times New Roman"/>
          <w:color w:val="auto"/>
          <w:sz w:val="21"/>
          <w:szCs w:val="21"/>
          <w:lang w:val="en-US" w:eastAsia="zh-CN"/>
        </w:rPr>
        <w:t xml:space="preserve">” </w:t>
      </w:r>
      <w:r>
        <w:rPr>
          <w:rFonts w:hint="eastAsia" w:ascii="Times New Roman" w:hAnsi="Times New Roman" w:eastAsia="宋体" w:cs="Times New Roman"/>
          <w:color w:val="auto"/>
          <w:sz w:val="21"/>
          <w:szCs w:val="21"/>
          <w:lang w:val="en-US" w:eastAsia="zh-CN"/>
        </w:rPr>
        <w:t xml:space="preserve">in Alt 2 </w:t>
      </w:r>
      <w:r>
        <w:rPr>
          <w:rFonts w:hint="default" w:ascii="Times New Roman" w:hAnsi="Times New Roman" w:eastAsia="宋体" w:cs="Times New Roman"/>
          <w:color w:val="auto"/>
          <w:sz w:val="21"/>
          <w:szCs w:val="21"/>
          <w:lang w:val="en-US" w:eastAsia="zh-CN"/>
        </w:rPr>
        <w:t>could be better.</w:t>
      </w:r>
      <w:r>
        <w:rPr>
          <w:rFonts w:hint="eastAsia" w:ascii="Times New Roman" w:hAnsi="Times New Roman" w:eastAsia="宋体" w:cs="Times New Roman"/>
          <w:color w:val="auto"/>
          <w:sz w:val="21"/>
          <w:szCs w:val="21"/>
          <w:lang w:val="en-US" w:eastAsia="zh-CN"/>
        </w:rPr>
        <w:t xml:space="preserve"> The corresponding TP#1-1 can be adopted. If we modify based on Alt 3, same</w:t>
      </w:r>
      <w:r>
        <w:rPr>
          <w:rFonts w:hint="default" w:ascii="Times New Roman" w:hAnsi="Times New Roman" w:eastAsia="宋体" w:cs="Times New Roman"/>
          <w:sz w:val="21"/>
          <w:szCs w:val="21"/>
          <w:lang w:val="en-US" w:eastAsia="zh-CN"/>
        </w:rPr>
        <w:t xml:space="preserve"> gNB </w:t>
      </w:r>
      <w:r>
        <w:rPr>
          <w:rFonts w:hint="eastAsia" w:eastAsia="宋体" w:cs="Times New Roman"/>
          <w:sz w:val="21"/>
          <w:szCs w:val="21"/>
          <w:lang w:val="en-US" w:eastAsia="zh-CN"/>
        </w:rPr>
        <w:t>restriction on</w:t>
      </w:r>
      <w:r>
        <w:rPr>
          <w:rFonts w:hint="default" w:ascii="Times New Roman" w:hAnsi="Times New Roman" w:eastAsia="宋体" w:cs="Times New Roman"/>
          <w:sz w:val="21"/>
          <w:szCs w:val="21"/>
          <w:lang w:val="en-GB"/>
        </w:rPr>
        <w:t xml:space="preserve"> MAC-CE update</w:t>
      </w:r>
      <w:r>
        <w:rPr>
          <w:rFonts w:hint="eastAsia" w:eastAsia="宋体" w:cs="Times New Roman"/>
          <w:sz w:val="21"/>
          <w:szCs w:val="21"/>
          <w:lang w:val="en-US" w:eastAsia="zh-CN"/>
        </w:rPr>
        <w:t>s</w:t>
      </w:r>
      <w:r>
        <w:rPr>
          <w:rFonts w:hint="default" w:ascii="Times New Roman" w:hAnsi="Times New Roman" w:eastAsia="宋体" w:cs="Times New Roman"/>
          <w:sz w:val="21"/>
          <w:szCs w:val="21"/>
          <w:lang w:val="en-GB"/>
        </w:rPr>
        <w:t xml:space="preserve"> </w:t>
      </w:r>
      <w:r>
        <w:rPr>
          <w:rFonts w:hint="eastAsia" w:eastAsia="宋体" w:cs="Times New Roman"/>
          <w:sz w:val="21"/>
          <w:szCs w:val="21"/>
          <w:lang w:val="en-US" w:eastAsia="zh-CN"/>
        </w:rPr>
        <w:t xml:space="preserve">as for multi-slot PDSCH scheduling should be added. </w:t>
      </w:r>
      <w:r>
        <w:rPr>
          <w:rFonts w:hint="eastAsia" w:ascii="Times New Roman" w:hAnsi="Times New Roman" w:eastAsia="宋体" w:cs="Times New Roman"/>
          <w:color w:val="auto"/>
          <w:sz w:val="21"/>
          <w:szCs w:val="21"/>
          <w:lang w:val="en-US" w:eastAsia="zh-CN"/>
        </w:rPr>
        <w:t>The corresponding TP#1-</w:t>
      </w:r>
      <w:r>
        <w:rPr>
          <w:rFonts w:hint="eastAsia" w:eastAsia="宋体" w:cs="Times New Roman"/>
          <w:color w:val="auto"/>
          <w:sz w:val="21"/>
          <w:szCs w:val="21"/>
          <w:lang w:val="en-US" w:eastAsia="zh-CN"/>
        </w:rPr>
        <w:t>2</w:t>
      </w:r>
      <w:r>
        <w:rPr>
          <w:rFonts w:hint="eastAsia" w:ascii="Times New Roman" w:hAnsi="Times New Roman" w:eastAsia="宋体" w:cs="Times New Roman"/>
          <w:color w:val="auto"/>
          <w:sz w:val="21"/>
          <w:szCs w:val="21"/>
          <w:lang w:val="en-US" w:eastAsia="zh-CN"/>
        </w:rPr>
        <w:t xml:space="preserve"> can be adopted.</w:t>
      </w:r>
    </w:p>
    <w:p>
      <w:pPr>
        <w:keepNext w:val="0"/>
        <w:keepLines w:val="0"/>
        <w:pageBreakBefore w:val="0"/>
        <w:widowControl/>
        <w:kinsoku/>
        <w:wordWrap/>
        <w:overflowPunct/>
        <w:topLinePunct w:val="0"/>
        <w:autoSpaceDE/>
        <w:autoSpaceDN/>
        <w:bidi w:val="0"/>
        <w:adjustRightInd/>
        <w:snapToGrid/>
        <w:spacing w:after="0" w:line="260" w:lineRule="auto"/>
        <w:jc w:val="both"/>
        <w:textAlignment w:val="auto"/>
        <w:rPr>
          <w:rFonts w:hint="default"/>
          <w:b/>
          <w:bCs/>
          <w:color w:val="auto"/>
          <w:sz w:val="21"/>
          <w:szCs w:val="21"/>
          <w:lang w:val="en-US" w:eastAsia="zh-CN"/>
        </w:rPr>
      </w:pPr>
      <w:r>
        <w:rPr>
          <w:rFonts w:hint="eastAsia"/>
          <w:b/>
          <w:bCs/>
          <w:color w:val="auto"/>
          <w:sz w:val="21"/>
          <w:szCs w:val="21"/>
          <w:lang w:val="en-US" w:eastAsia="zh-CN"/>
        </w:rPr>
        <w:t>Proposal 1: For multi-PDSCH scheduling by a single DCI, adopt either of TP#1-1 or TP#1-2 in TS 38.214.</w:t>
      </w:r>
    </w:p>
    <w:p>
      <w:pPr>
        <w:keepNext w:val="0"/>
        <w:keepLines w:val="0"/>
        <w:pageBreakBefore w:val="0"/>
        <w:widowControl/>
        <w:numPr>
          <w:ilvl w:val="0"/>
          <w:numId w:val="13"/>
        </w:numPr>
        <w:kinsoku/>
        <w:wordWrap/>
        <w:overflowPunct/>
        <w:topLinePunct w:val="0"/>
        <w:autoSpaceDE/>
        <w:autoSpaceDN/>
        <w:bidi w:val="0"/>
        <w:adjustRightInd/>
        <w:snapToGrid/>
        <w:spacing w:after="0" w:line="260" w:lineRule="auto"/>
        <w:ind w:left="420" w:leftChars="0" w:hanging="420" w:firstLineChars="0"/>
        <w:jc w:val="both"/>
        <w:textAlignment w:val="auto"/>
        <w:rPr>
          <w:rFonts w:hint="eastAsia" w:eastAsia="宋体" w:cs="Times New Roman"/>
          <w:b/>
          <w:bCs/>
          <w:sz w:val="21"/>
          <w:szCs w:val="21"/>
          <w:lang w:val="en-US" w:eastAsia="zh-CN"/>
        </w:rPr>
      </w:pPr>
      <w:r>
        <w:rPr>
          <w:rFonts w:hint="default" w:ascii="Times New Roman" w:hAnsi="Times New Roman" w:cs="Times New Roman"/>
          <w:b/>
          <w:bCs/>
          <w:sz w:val="21"/>
          <w:szCs w:val="21"/>
        </w:rPr>
        <w:t xml:space="preserve">the indicated TCI state should be based on the activated TCI states in the first slot with </w:t>
      </w:r>
      <w:r>
        <w:rPr>
          <w:rFonts w:hint="eastAsia" w:eastAsia="宋体" w:cs="Times New Roman"/>
          <w:b/>
          <w:bCs/>
          <w:sz w:val="21"/>
          <w:szCs w:val="21"/>
          <w:lang w:val="en-US" w:eastAsia="zh-CN"/>
        </w:rPr>
        <w:t xml:space="preserve">all </w:t>
      </w:r>
      <w:r>
        <w:rPr>
          <w:rFonts w:hint="default" w:ascii="Times New Roman" w:hAnsi="Times New Roman" w:cs="Times New Roman"/>
          <w:b/>
          <w:bCs/>
          <w:sz w:val="21"/>
          <w:szCs w:val="21"/>
        </w:rPr>
        <w:t>the scheduled PDSCH</w:t>
      </w:r>
      <w:r>
        <w:rPr>
          <w:rFonts w:hint="default" w:ascii="Times New Roman" w:hAnsi="Times New Roman" w:eastAsia="宋体" w:cs="Times New Roman"/>
          <w:b/>
          <w:bCs/>
          <w:sz w:val="21"/>
          <w:szCs w:val="21"/>
          <w:lang w:val="en-US" w:eastAsia="zh-CN"/>
        </w:rPr>
        <w:t>s</w:t>
      </w:r>
      <w:r>
        <w:rPr>
          <w:rFonts w:hint="default" w:ascii="Times New Roman" w:hAnsi="Times New Roman" w:cs="Times New Roman"/>
          <w:b/>
          <w:bCs/>
          <w:sz w:val="21"/>
          <w:szCs w:val="21"/>
        </w:rPr>
        <w:t>.</w:t>
      </w:r>
      <w:r>
        <w:rPr>
          <w:rFonts w:hint="eastAsia" w:eastAsia="宋体" w:cs="Times New Roman"/>
          <w:b/>
          <w:bCs/>
          <w:sz w:val="21"/>
          <w:szCs w:val="21"/>
          <w:lang w:val="en-US" w:eastAsia="zh-CN"/>
        </w:rPr>
        <w:t xml:space="preserve"> </w:t>
      </w:r>
    </w:p>
    <w:p>
      <w:pPr>
        <w:numPr>
          <w:ilvl w:val="0"/>
          <w:numId w:val="13"/>
        </w:numPr>
        <w:ind w:left="420" w:leftChars="0" w:hanging="420" w:firstLineChars="0"/>
        <w:jc w:val="both"/>
        <w:rPr>
          <w:rFonts w:ascii="Times New Roman" w:hAnsi="Times New Roman" w:cs="Times New Roman"/>
        </w:rPr>
      </w:pPr>
      <w:r>
        <w:rPr>
          <w:rFonts w:hint="eastAsia" w:ascii="Times New Roman" w:hAnsi="Times New Roman" w:eastAsia="宋体" w:cs="Times New Roman"/>
          <w:b/>
          <w:bCs/>
          <w:color w:val="auto"/>
          <w:sz w:val="21"/>
          <w:szCs w:val="21"/>
          <w:lang w:val="en-US" w:eastAsia="zh-CN"/>
        </w:rPr>
        <w:t>same</w:t>
      </w:r>
      <w:r>
        <w:rPr>
          <w:rFonts w:hint="default" w:ascii="Times New Roman" w:hAnsi="Times New Roman" w:eastAsia="宋体" w:cs="Times New Roman"/>
          <w:b/>
          <w:bCs/>
          <w:sz w:val="21"/>
          <w:szCs w:val="21"/>
          <w:lang w:val="en-US" w:eastAsia="zh-CN"/>
        </w:rPr>
        <w:t xml:space="preserve"> gNB </w:t>
      </w:r>
      <w:r>
        <w:rPr>
          <w:rFonts w:hint="eastAsia" w:eastAsia="宋体" w:cs="Times New Roman"/>
          <w:b/>
          <w:bCs/>
          <w:sz w:val="21"/>
          <w:szCs w:val="21"/>
          <w:lang w:val="en-US" w:eastAsia="zh-CN"/>
        </w:rPr>
        <w:t>restriction on</w:t>
      </w:r>
      <w:r>
        <w:rPr>
          <w:rFonts w:hint="default" w:ascii="Times New Roman" w:hAnsi="Times New Roman" w:eastAsia="宋体" w:cs="Times New Roman"/>
          <w:b/>
          <w:bCs/>
          <w:sz w:val="21"/>
          <w:szCs w:val="21"/>
          <w:lang w:val="en-GB"/>
        </w:rPr>
        <w:t xml:space="preserve"> MAC-CE update</w:t>
      </w:r>
      <w:r>
        <w:rPr>
          <w:rFonts w:hint="eastAsia" w:eastAsia="宋体" w:cs="Times New Roman"/>
          <w:b/>
          <w:bCs/>
          <w:sz w:val="21"/>
          <w:szCs w:val="21"/>
          <w:lang w:val="en-US" w:eastAsia="zh-CN"/>
        </w:rPr>
        <w:t>s</w:t>
      </w:r>
      <w:r>
        <w:rPr>
          <w:rFonts w:hint="default" w:ascii="Times New Roman" w:hAnsi="Times New Roman" w:eastAsia="宋体" w:cs="Times New Roman"/>
          <w:b/>
          <w:bCs/>
          <w:sz w:val="21"/>
          <w:szCs w:val="21"/>
          <w:lang w:val="en-GB"/>
        </w:rPr>
        <w:t xml:space="preserve"> </w:t>
      </w:r>
      <w:r>
        <w:rPr>
          <w:rFonts w:hint="eastAsia" w:eastAsia="宋体" w:cs="Times New Roman"/>
          <w:b/>
          <w:bCs/>
          <w:sz w:val="21"/>
          <w:szCs w:val="21"/>
          <w:lang w:val="en-US" w:eastAsia="zh-CN"/>
        </w:rPr>
        <w:t>as for multi-slot PDSCH scheduling should be applied</w:t>
      </w:r>
      <w:r>
        <w:rPr>
          <w:rFonts w:hint="eastAsia" w:eastAsia="宋体" w:cs="Times New Roman"/>
          <w:sz w:val="21"/>
          <w:szCs w:val="21"/>
          <w:lang w:val="en-US" w:eastAsia="zh-CN"/>
        </w:rPr>
        <w:t>.</w:t>
      </w:r>
    </w:p>
    <w:p>
      <w:pPr>
        <w:rPr>
          <w:rFonts w:hint="eastAsia"/>
          <w:lang w:val="en-US" w:eastAsia="zh-CN"/>
        </w:rPr>
      </w:pPr>
    </w:p>
    <w:p>
      <w:pPr>
        <w:keepNext/>
        <w:keepLines w:val="0"/>
        <w:pageBreakBefore w:val="0"/>
        <w:widowControl/>
        <w:numPr>
          <w:ilvl w:val="0"/>
          <w:numId w:val="14"/>
        </w:numPr>
        <w:tabs>
          <w:tab w:val="left" w:pos="432"/>
        </w:tabs>
        <w:kinsoku/>
        <w:wordWrap/>
        <w:overflowPunct/>
        <w:topLinePunct w:val="0"/>
        <w:autoSpaceDE w:val="0"/>
        <w:autoSpaceDN w:val="0"/>
        <w:bidi w:val="0"/>
        <w:adjustRightInd w:val="0"/>
        <w:snapToGrid w:val="0"/>
        <w:spacing w:before="120" w:after="120" w:line="260" w:lineRule="auto"/>
        <w:ind w:left="420" w:leftChars="0" w:hanging="420" w:firstLineChars="0"/>
        <w:jc w:val="both"/>
        <w:textAlignment w:val="auto"/>
        <w:outlineLvl w:val="2"/>
        <w:rPr>
          <w:rFonts w:hint="eastAsia" w:ascii="Times New Roman" w:hAnsi="Times New Roman" w:eastAsia="宋体" w:cs="Times New Roman"/>
          <w:b/>
          <w:bCs/>
          <w:sz w:val="22"/>
          <w:szCs w:val="22"/>
          <w:lang w:val="en-US" w:eastAsia="zh-CN" w:bidi="ar-SA"/>
        </w:rPr>
      </w:pPr>
      <w:r>
        <w:rPr>
          <w:rFonts w:hint="eastAsia" w:eastAsia="宋体" w:cs="Times New Roman"/>
          <w:b/>
          <w:bCs/>
          <w:sz w:val="22"/>
          <w:szCs w:val="22"/>
          <w:lang w:val="en-US" w:eastAsia="zh-CN" w:bidi="ar-SA"/>
        </w:rPr>
        <w:t xml:space="preserve"> </w:t>
      </w:r>
      <w:r>
        <w:rPr>
          <w:rFonts w:hint="eastAsia" w:ascii="Times New Roman" w:hAnsi="Times New Roman" w:eastAsia="宋体" w:cs="Times New Roman"/>
          <w:b/>
          <w:bCs/>
          <w:sz w:val="22"/>
          <w:szCs w:val="22"/>
          <w:lang w:val="en-US" w:eastAsia="zh-CN" w:bidi="ar-SA"/>
        </w:rPr>
        <w:t>TP#1</w:t>
      </w:r>
      <w:r>
        <w:rPr>
          <w:rFonts w:hint="eastAsia" w:eastAsia="宋体" w:cs="Times New Roman"/>
          <w:b/>
          <w:bCs/>
          <w:sz w:val="22"/>
          <w:szCs w:val="22"/>
          <w:lang w:val="en-US" w:eastAsia="zh-CN" w:bidi="ar-SA"/>
        </w:rPr>
        <w:t>-1</w:t>
      </w:r>
      <w:r>
        <w:rPr>
          <w:rFonts w:ascii="Times New Roman" w:hAnsi="Times New Roman" w:eastAsia="宋体" w:cs="Times New Roman"/>
          <w:b/>
          <w:bCs/>
          <w:sz w:val="22"/>
          <w:szCs w:val="22"/>
          <w:lang w:val="en-US" w:eastAsia="en-US" w:bidi="ar-SA"/>
        </w:rPr>
        <w:t xml:space="preserve"> for TS</w:t>
      </w:r>
      <w:r>
        <w:rPr>
          <w:rFonts w:hint="eastAsia" w:ascii="Times New Roman" w:hAnsi="Times New Roman" w:eastAsia="宋体" w:cs="Times New Roman"/>
          <w:b/>
          <w:bCs/>
          <w:sz w:val="22"/>
          <w:szCs w:val="22"/>
          <w:lang w:val="en-US" w:eastAsia="zh-CN" w:bidi="ar-SA"/>
        </w:rPr>
        <w:t xml:space="preserve"> </w:t>
      </w:r>
      <w:r>
        <w:rPr>
          <w:rFonts w:ascii="Times New Roman" w:hAnsi="Times New Roman" w:eastAsia="宋体" w:cs="Times New Roman"/>
          <w:b/>
          <w:bCs/>
          <w:sz w:val="22"/>
          <w:szCs w:val="22"/>
          <w:lang w:val="en-US" w:eastAsia="en-US" w:bidi="ar-SA"/>
        </w:rPr>
        <w:t>38.21</w:t>
      </w:r>
      <w:r>
        <w:rPr>
          <w:rFonts w:hint="eastAsia" w:eastAsia="宋体" w:cs="Times New Roman"/>
          <w:b/>
          <w:bCs/>
          <w:sz w:val="22"/>
          <w:szCs w:val="22"/>
          <w:lang w:val="en-US" w:eastAsia="zh-CN" w:bidi="ar-SA"/>
        </w:rPr>
        <w:t>4</w:t>
      </w:r>
    </w:p>
    <w:p>
      <w:pPr>
        <w:rPr>
          <w:rFonts w:ascii="Times New Roman" w:hAnsi="Times New Roman" w:cs="Times New Roman"/>
          <w:color w:val="FF0000"/>
        </w:rPr>
      </w:pPr>
      <w:r>
        <w:rPr>
          <w:rFonts w:ascii="Times New Roman" w:hAnsi="Times New Roman" w:cs="Times New Roman"/>
          <w:color w:val="FF0000"/>
        </w:rPr>
        <w:t>============================== Start of TP</w:t>
      </w:r>
      <w:r>
        <w:rPr>
          <w:rFonts w:hint="eastAsia" w:eastAsia="宋体" w:cs="Times New Roman"/>
          <w:color w:val="FF0000"/>
          <w:lang w:val="en-US" w:eastAsia="zh-CN"/>
        </w:rPr>
        <w:t>#1-1</w:t>
      </w:r>
      <w:r>
        <w:rPr>
          <w:rFonts w:ascii="Times New Roman" w:hAnsi="Times New Roman" w:cs="Times New Roman"/>
          <w:color w:val="FF0000"/>
        </w:rPr>
        <w:t xml:space="preserve"> for TS 38.214 ===============================</w:t>
      </w:r>
    </w:p>
    <w:p>
      <w:pPr>
        <w:pStyle w:val="15"/>
        <w:rPr>
          <w:rFonts w:cs="Calibri"/>
          <w:sz w:val="28"/>
          <w:szCs w:val="28"/>
        </w:rPr>
      </w:pPr>
      <w:r>
        <w:rPr>
          <w:sz w:val="28"/>
          <w:szCs w:val="28"/>
        </w:rPr>
        <w:t>5.1.5 Antenna ports quasi co-location</w:t>
      </w:r>
    </w:p>
    <w:p>
      <w:pPr>
        <w:pStyle w:val="15"/>
        <w:jc w:val="center"/>
        <w:rPr>
          <w:color w:val="FF0000"/>
        </w:rPr>
      </w:pPr>
      <w:r>
        <w:rPr>
          <w:color w:val="FF0000"/>
        </w:rPr>
        <w:t>*** Unchanged text omitted ***</w:t>
      </w:r>
    </w:p>
    <w:p>
      <w:pPr>
        <w:snapToGrid w:val="0"/>
        <w:rPr>
          <w:rFonts w:ascii="Times New Roman" w:hAnsi="Times New Roman" w:cs="Times New Roman"/>
          <w:lang w:val="en-GB"/>
        </w:rPr>
      </w:pPr>
      <w:r>
        <w:rPr>
          <w:rFonts w:ascii="Times New Roman" w:hAnsi="Times New Roman" w:cs="Times New Roman"/>
          <w:color w:val="000000"/>
          <w:lang w:val="en-GB"/>
        </w:rPr>
        <w:t xml:space="preserve">If a PDSCH is scheduled by a DCI format having the TCI field present, the TCI field in DCI in the scheduling component carrier points to the activated TCI states in the scheduled component carrier or DL BWP, the UE shall use the </w:t>
      </w:r>
      <w:r>
        <w:rPr>
          <w:rFonts w:ascii="Times New Roman" w:hAnsi="Times New Roman" w:cs="Times New Roman"/>
          <w:i/>
          <w:iCs/>
          <w:color w:val="000000"/>
          <w:lang w:val="en-GB"/>
        </w:rPr>
        <w:t>TCI-State</w:t>
      </w:r>
      <w:r>
        <w:rPr>
          <w:rFonts w:ascii="Times New Roman" w:hAnsi="Times New Roman" w:cs="Times New Roman"/>
          <w:color w:val="000000"/>
          <w:lang w:val="en-GB"/>
        </w:rPr>
        <w:t xml:space="preserve"> according to the value of the '</w:t>
      </w:r>
      <w:r>
        <w:rPr>
          <w:rFonts w:ascii="Times New Roman" w:hAnsi="Times New Roman" w:cs="Times New Roman"/>
          <w:i/>
          <w:iCs/>
          <w:color w:val="000000"/>
          <w:lang w:val="en-GB"/>
        </w:rPr>
        <w:t>Transmission Configuration Indication</w:t>
      </w:r>
      <w:r>
        <w:rPr>
          <w:rFonts w:ascii="Times New Roman" w:hAnsi="Times New Roman" w:cs="Times New Roman"/>
          <w:color w:val="000000"/>
          <w:lang w:val="en-GB"/>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Pr>
          <w:rFonts w:ascii="Times New Roman" w:hAnsi="Times New Roman" w:cs="Times New Roman"/>
          <w:i/>
          <w:iCs/>
          <w:color w:val="000000"/>
          <w:lang w:val="en-GB"/>
        </w:rPr>
        <w:t>timeDurationForQCL</w:t>
      </w:r>
      <w:r>
        <w:rPr>
          <w:rFonts w:ascii="Times New Roman" w:hAnsi="Times New Roman" w:cs="Times New Roman"/>
          <w:color w:val="000000"/>
          <w:lang w:val="en-GB"/>
        </w:rPr>
        <w:t xml:space="preserve">, where the threshold is based on reported UE capability [13, TS 38.306]. When the UE is configured with a single slot PDSCH, the indicated TCI state </w:t>
      </w:r>
      <w:r>
        <w:rPr>
          <w:rFonts w:ascii="Times New Roman" w:hAnsi="Times New Roman" w:cs="Times New Roman"/>
          <w:lang w:val="en-GB"/>
        </w:rPr>
        <w:t>should be based on the activated TCI states in the slot with the scheduled PDSCH. When the UE is configured with a multi-slot PDSCH</w:t>
      </w:r>
      <w:r>
        <w:rPr>
          <w:rFonts w:hint="eastAsia" w:eastAsia="宋体" w:cs="Times New Roman"/>
          <w:lang w:val="en-US" w:eastAsia="zh-CN"/>
        </w:rPr>
        <w:t xml:space="preserve"> </w:t>
      </w:r>
      <w:r>
        <w:rPr>
          <w:rFonts w:ascii="Times New Roman" w:hAnsi="Times New Roman"/>
          <w:color w:val="FF0000"/>
          <w:sz w:val="21"/>
          <w:szCs w:val="21"/>
          <w:lang w:val="en-GB" w:eastAsia="ko-KR"/>
        </w:rPr>
        <w:t xml:space="preserve">or the UE is configured with higher </w:t>
      </w:r>
      <w:r>
        <w:rPr>
          <w:rFonts w:hint="eastAsia" w:ascii="Times New Roman" w:hAnsi="Times New Roman" w:eastAsia="宋体"/>
          <w:color w:val="FF0000"/>
          <w:sz w:val="21"/>
          <w:szCs w:val="21"/>
          <w:lang w:val="en-US" w:eastAsia="zh-CN"/>
        </w:rPr>
        <w:t>l</w:t>
      </w:r>
      <w:r>
        <w:rPr>
          <w:rFonts w:ascii="Times New Roman" w:hAnsi="Times New Roman"/>
          <w:color w:val="FF0000"/>
          <w:sz w:val="21"/>
          <w:szCs w:val="21"/>
          <w:lang w:val="en-GB" w:eastAsia="ko-KR"/>
        </w:rPr>
        <w:t>ayer parameter [</w:t>
      </w:r>
      <w:r>
        <w:rPr>
          <w:rFonts w:ascii="Times New Roman" w:hAnsi="Times New Roman"/>
          <w:i/>
          <w:color w:val="FF0000"/>
          <w:sz w:val="21"/>
          <w:szCs w:val="21"/>
          <w:lang w:val="en-GB" w:eastAsia="ko-KR"/>
        </w:rPr>
        <w:t>pdsch-TimeDomainAllocationListForMultiPDSCH-r17</w:t>
      </w:r>
      <w:r>
        <w:rPr>
          <w:rFonts w:ascii="Times New Roman" w:hAnsi="Times New Roman"/>
          <w:color w:val="FF0000"/>
          <w:sz w:val="21"/>
          <w:szCs w:val="21"/>
          <w:lang w:val="en-GB" w:eastAsia="ko-KR"/>
        </w:rPr>
        <w:t>]</w:t>
      </w:r>
      <w:r>
        <w:rPr>
          <w:rFonts w:ascii="Times New Roman" w:hAnsi="Times New Roman" w:cs="Times New Roman"/>
          <w:lang w:val="en-GB"/>
        </w:rPr>
        <w:t>, the indicated TCI state should be based on the activated TCI states in the first slot with the scheduled PDSCH</w:t>
      </w:r>
      <w:r>
        <w:rPr>
          <w:rFonts w:hint="eastAsia" w:eastAsia="宋体" w:cs="Times New Roman"/>
          <w:color w:val="FF0000"/>
          <w:highlight w:val="yellow"/>
          <w:lang w:val="en-US" w:eastAsia="zh-CN"/>
        </w:rPr>
        <w:t>(s)</w:t>
      </w:r>
      <w:r>
        <w:rPr>
          <w:rFonts w:ascii="Times New Roman" w:hAnsi="Times New Roman" w:cs="Times New Roman"/>
          <w:lang w:val="en-GB"/>
        </w:rPr>
        <w:t xml:space="preserve">, and UE shall expect the activated TCI states are the same across the slots with the scheduled PDSCH. When the UE is configured with CORESET associated with a search space set for cross-carrier scheduling and the UE is not configured with </w:t>
      </w:r>
      <w:r>
        <w:rPr>
          <w:rFonts w:ascii="Times New Roman" w:hAnsi="Times New Roman" w:cs="Times New Roman"/>
          <w:i/>
          <w:iCs/>
          <w:lang w:val="en-GB"/>
        </w:rPr>
        <w:t>enableDefaultBeamForCCS</w:t>
      </w:r>
      <w:r>
        <w:rPr>
          <w:rFonts w:ascii="Times New Roman" w:hAnsi="Times New Roman" w:cs="Times New Roman"/>
          <w:lang w:val="en-GB"/>
        </w:rPr>
        <w:t xml:space="preserve">, the UE expects </w:t>
      </w:r>
      <w:r>
        <w:rPr>
          <w:rFonts w:ascii="Times New Roman" w:hAnsi="Times New Roman" w:cs="Times New Roman"/>
          <w:i/>
          <w:iCs/>
          <w:lang w:val="en-GB"/>
        </w:rPr>
        <w:t xml:space="preserve">tci-PresentInDCI </w:t>
      </w:r>
      <w:r>
        <w:rPr>
          <w:rFonts w:ascii="Times New Roman" w:hAnsi="Times New Roman" w:cs="Times New Roman"/>
          <w:lang w:val="en-GB"/>
        </w:rPr>
        <w:t xml:space="preserve">is set as 'enabled' or </w:t>
      </w:r>
      <w:r>
        <w:rPr>
          <w:rFonts w:ascii="Times New Roman" w:hAnsi="Times New Roman" w:cs="Times New Roman"/>
          <w:i/>
          <w:iCs/>
          <w:lang w:val="en-GB"/>
        </w:rPr>
        <w:t xml:space="preserve">tci-PresentDCI-1-2 </w:t>
      </w:r>
      <w:r>
        <w:rPr>
          <w:rFonts w:ascii="Times New Roman" w:hAnsi="Times New Roman" w:cs="Times New Roman"/>
          <w:lang w:val="en-GB"/>
        </w:rPr>
        <w:t xml:space="preserve">is configured for the CORESET, and if one or more of the TCI states configured for the serving cell scheduled by the search space set contains </w:t>
      </w:r>
      <w:r>
        <w:rPr>
          <w:rFonts w:ascii="Times New Roman" w:hAnsi="Times New Roman" w:cs="Times New Roman"/>
          <w:i/>
          <w:iCs/>
          <w:color w:val="000000"/>
          <w:lang w:val="en-GB"/>
        </w:rPr>
        <w:t>qcl-Type</w:t>
      </w:r>
      <w:r>
        <w:rPr>
          <w:rFonts w:ascii="Times New Roman" w:hAnsi="Times New Roman" w:cs="Times New Roman"/>
          <w:color w:val="000000"/>
          <w:lang w:val="en-GB"/>
        </w:rPr>
        <w:t xml:space="preserve"> set to</w:t>
      </w:r>
      <w:r>
        <w:rPr>
          <w:rFonts w:ascii="Times New Roman" w:hAnsi="Times New Roman" w:cs="Times New Roman"/>
          <w:lang w:val="en-GB"/>
        </w:rPr>
        <w:t xml:space="preserve"> 'typeD', the UE expects the time offset between the reception of the detected PDCCH in the search space set and </w:t>
      </w:r>
      <w:r>
        <w:rPr>
          <w:rFonts w:ascii="Times New Roman" w:hAnsi="Times New Roman" w:cs="Times New Roman"/>
          <w:color w:val="auto"/>
          <w:lang w:val="en-GB"/>
        </w:rPr>
        <w:t>a</w:t>
      </w:r>
      <w:r>
        <w:rPr>
          <w:rFonts w:ascii="Times New Roman" w:hAnsi="Times New Roman" w:cs="Times New Roman"/>
          <w:color w:val="FF0000"/>
          <w:lang w:val="en-GB"/>
        </w:rPr>
        <w:t xml:space="preserve"> </w:t>
      </w:r>
      <w:r>
        <w:rPr>
          <w:rFonts w:ascii="Times New Roman" w:hAnsi="Times New Roman" w:cs="Times New Roman"/>
          <w:lang w:val="en-GB"/>
        </w:rPr>
        <w:t xml:space="preserve">corresponding PDSCH is larger than or equal to the threshold </w:t>
      </w:r>
      <w:r>
        <w:rPr>
          <w:rFonts w:ascii="Times New Roman" w:hAnsi="Times New Roman" w:cs="Times New Roman"/>
          <w:i/>
          <w:iCs/>
          <w:color w:val="000000"/>
          <w:lang w:val="en-GB"/>
        </w:rPr>
        <w:t>timeDurationForQCL</w:t>
      </w:r>
      <w:r>
        <w:rPr>
          <w:rFonts w:ascii="Times New Roman" w:hAnsi="Times New Roman" w:cs="Times New Roman"/>
          <w:i/>
          <w:iCs/>
          <w:lang w:val="en-GB"/>
        </w:rPr>
        <w:t>.</w:t>
      </w:r>
    </w:p>
    <w:p>
      <w:pPr>
        <w:pStyle w:val="15"/>
        <w:jc w:val="center"/>
        <w:rPr>
          <w:rFonts w:cs="Calibri"/>
          <w:color w:val="FF0000"/>
        </w:rPr>
      </w:pPr>
      <w:r>
        <w:rPr>
          <w:color w:val="FF0000"/>
        </w:rPr>
        <w:t>*** Unchanged text omitted ***</w:t>
      </w:r>
    </w:p>
    <w:p>
      <w:pPr>
        <w:snapToGrid w:val="0"/>
        <w:rPr>
          <w:rFonts w:ascii="Times New Roman" w:hAnsi="Times New Roman" w:cs="Times New Roman"/>
          <w:color w:val="FF0000"/>
        </w:rPr>
      </w:pPr>
      <w:r>
        <w:rPr>
          <w:rFonts w:ascii="Times New Roman" w:hAnsi="Times New Roman" w:cs="Times New Roman"/>
          <w:color w:val="FF0000"/>
        </w:rPr>
        <w:t>============================== End of TP</w:t>
      </w:r>
      <w:r>
        <w:rPr>
          <w:rFonts w:hint="eastAsia" w:eastAsia="宋体" w:cs="Times New Roman"/>
          <w:color w:val="FF0000"/>
          <w:lang w:val="en-US" w:eastAsia="zh-CN"/>
        </w:rPr>
        <w:t>#1-1</w:t>
      </w:r>
      <w:r>
        <w:rPr>
          <w:rFonts w:ascii="Times New Roman" w:hAnsi="Times New Roman" w:cs="Times New Roman"/>
          <w:color w:val="FF0000"/>
        </w:rPr>
        <w:t xml:space="preserve"> for TS 38.214 ===============================</w:t>
      </w:r>
    </w:p>
    <w:p>
      <w:pPr>
        <w:rPr>
          <w:rFonts w:ascii="Times New Roman" w:hAnsi="Times New Roman" w:cs="Times New Roman"/>
        </w:rPr>
      </w:pPr>
    </w:p>
    <w:p>
      <w:pPr>
        <w:keepNext/>
        <w:keepLines w:val="0"/>
        <w:pageBreakBefore w:val="0"/>
        <w:widowControl/>
        <w:numPr>
          <w:ilvl w:val="0"/>
          <w:numId w:val="14"/>
        </w:numPr>
        <w:tabs>
          <w:tab w:val="left" w:pos="432"/>
        </w:tabs>
        <w:kinsoku/>
        <w:wordWrap/>
        <w:overflowPunct/>
        <w:topLinePunct w:val="0"/>
        <w:autoSpaceDE w:val="0"/>
        <w:autoSpaceDN w:val="0"/>
        <w:bidi w:val="0"/>
        <w:adjustRightInd w:val="0"/>
        <w:snapToGrid w:val="0"/>
        <w:spacing w:before="120" w:after="120" w:line="260" w:lineRule="auto"/>
        <w:ind w:left="420" w:leftChars="0" w:hanging="420" w:firstLineChars="0"/>
        <w:jc w:val="both"/>
        <w:textAlignment w:val="auto"/>
        <w:outlineLvl w:val="2"/>
        <w:rPr>
          <w:rFonts w:hint="eastAsia" w:ascii="Times New Roman" w:hAnsi="Times New Roman" w:eastAsia="宋体" w:cs="Times New Roman"/>
          <w:b/>
          <w:bCs/>
          <w:sz w:val="22"/>
          <w:szCs w:val="22"/>
          <w:lang w:val="en-US" w:eastAsia="zh-CN" w:bidi="ar-SA"/>
        </w:rPr>
      </w:pPr>
      <w:r>
        <w:rPr>
          <w:rFonts w:hint="eastAsia" w:eastAsia="宋体" w:cs="Times New Roman"/>
          <w:b/>
          <w:bCs/>
          <w:sz w:val="22"/>
          <w:szCs w:val="22"/>
          <w:lang w:val="en-US" w:eastAsia="zh-CN" w:bidi="ar-SA"/>
        </w:rPr>
        <w:t xml:space="preserve"> </w:t>
      </w:r>
      <w:r>
        <w:rPr>
          <w:rFonts w:hint="eastAsia" w:ascii="Times New Roman" w:hAnsi="Times New Roman" w:eastAsia="宋体" w:cs="Times New Roman"/>
          <w:b/>
          <w:bCs/>
          <w:sz w:val="22"/>
          <w:szCs w:val="22"/>
          <w:lang w:val="en-US" w:eastAsia="zh-CN" w:bidi="ar-SA"/>
        </w:rPr>
        <w:t>TP#1-2</w:t>
      </w:r>
      <w:r>
        <w:rPr>
          <w:rFonts w:hint="eastAsia" w:ascii="Times New Roman" w:hAnsi="Times New Roman" w:eastAsia="宋体" w:cs="Times New Roman"/>
          <w:b/>
          <w:bCs/>
          <w:sz w:val="22"/>
          <w:szCs w:val="22"/>
          <w:lang w:val="en-US" w:eastAsia="en-US" w:bidi="ar-SA"/>
        </w:rPr>
        <w:t xml:space="preserve"> for TS</w:t>
      </w:r>
      <w:r>
        <w:rPr>
          <w:rFonts w:hint="eastAsia" w:ascii="Times New Roman" w:hAnsi="Times New Roman" w:eastAsia="宋体" w:cs="Times New Roman"/>
          <w:b/>
          <w:bCs/>
          <w:sz w:val="22"/>
          <w:szCs w:val="22"/>
          <w:lang w:val="en-US" w:eastAsia="zh-CN" w:bidi="ar-SA"/>
        </w:rPr>
        <w:t xml:space="preserve"> </w:t>
      </w:r>
      <w:r>
        <w:rPr>
          <w:rFonts w:hint="eastAsia" w:ascii="Times New Roman" w:hAnsi="Times New Roman" w:eastAsia="宋体" w:cs="Times New Roman"/>
          <w:b/>
          <w:bCs/>
          <w:sz w:val="22"/>
          <w:szCs w:val="22"/>
          <w:lang w:val="en-US" w:eastAsia="en-US" w:bidi="ar-SA"/>
        </w:rPr>
        <w:t>38.21</w:t>
      </w:r>
      <w:r>
        <w:rPr>
          <w:rFonts w:hint="eastAsia" w:ascii="Times New Roman" w:hAnsi="Times New Roman" w:eastAsia="宋体" w:cs="Times New Roman"/>
          <w:b/>
          <w:bCs/>
          <w:sz w:val="22"/>
          <w:szCs w:val="22"/>
          <w:lang w:val="en-US" w:eastAsia="zh-CN" w:bidi="ar-SA"/>
        </w:rPr>
        <w:t>4</w:t>
      </w:r>
    </w:p>
    <w:p>
      <w:pPr>
        <w:rPr>
          <w:rFonts w:ascii="Times New Roman" w:hAnsi="Times New Roman" w:cs="Times New Roman"/>
        </w:rPr>
      </w:pPr>
    </w:p>
    <w:p>
      <w:pPr>
        <w:rPr>
          <w:rFonts w:ascii="Times New Roman" w:hAnsi="Times New Roman" w:cs="Times New Roman"/>
          <w:color w:val="FF0000"/>
        </w:rPr>
      </w:pPr>
      <w:r>
        <w:rPr>
          <w:rFonts w:ascii="Times New Roman" w:hAnsi="Times New Roman" w:cs="Times New Roman"/>
          <w:color w:val="FF0000"/>
        </w:rPr>
        <w:t>============================== Start of TP</w:t>
      </w:r>
      <w:r>
        <w:rPr>
          <w:rFonts w:hint="eastAsia" w:eastAsia="宋体" w:cs="Times New Roman"/>
          <w:color w:val="FF0000"/>
          <w:lang w:val="en-US" w:eastAsia="zh-CN"/>
        </w:rPr>
        <w:t>#</w:t>
      </w:r>
      <w:r>
        <w:rPr>
          <w:rFonts w:hint="eastAsia" w:ascii="Times New Roman" w:hAnsi="Times New Roman" w:eastAsia="宋体" w:cs="Times New Roman"/>
          <w:color w:val="FF0000"/>
          <w:lang w:val="en-US" w:eastAsia="zh-CN"/>
        </w:rPr>
        <w:t>1-2</w:t>
      </w:r>
      <w:r>
        <w:rPr>
          <w:rFonts w:ascii="Times New Roman" w:hAnsi="Times New Roman" w:cs="Times New Roman"/>
          <w:color w:val="FF0000"/>
        </w:rPr>
        <w:t xml:space="preserve"> for TS 38.214 ===============================</w:t>
      </w:r>
    </w:p>
    <w:p>
      <w:pPr>
        <w:pStyle w:val="15"/>
        <w:rPr>
          <w:rFonts w:cs="Calibri"/>
          <w:sz w:val="28"/>
          <w:szCs w:val="28"/>
        </w:rPr>
      </w:pPr>
      <w:r>
        <w:rPr>
          <w:sz w:val="28"/>
          <w:szCs w:val="28"/>
        </w:rPr>
        <w:t>5.1.5 Antenna ports quasi co-location</w:t>
      </w:r>
    </w:p>
    <w:p>
      <w:pPr>
        <w:pStyle w:val="15"/>
        <w:jc w:val="center"/>
        <w:rPr>
          <w:color w:val="FF0000"/>
        </w:rPr>
      </w:pPr>
      <w:r>
        <w:rPr>
          <w:color w:val="FF0000"/>
        </w:rPr>
        <w:t>*** Unchanged text omitted ***</w:t>
      </w:r>
    </w:p>
    <w:p>
      <w:pPr>
        <w:snapToGrid w:val="0"/>
        <w:rPr>
          <w:rFonts w:ascii="Times New Roman" w:hAnsi="Times New Roman" w:cs="Times New Roman"/>
          <w:lang w:val="en-GB"/>
        </w:rPr>
      </w:pPr>
      <w:r>
        <w:rPr>
          <w:rFonts w:ascii="Times New Roman" w:hAnsi="Times New Roman" w:cs="Times New Roman"/>
          <w:color w:val="000000"/>
          <w:lang w:val="en-GB"/>
        </w:rPr>
        <w:t xml:space="preserve">If a PDSCH is scheduled by a DCI format having the TCI field present, the TCI field in DCI in the scheduling component carrier points to the activated TCI states in the scheduled component carrier or DL BWP, the UE shall use the </w:t>
      </w:r>
      <w:r>
        <w:rPr>
          <w:rFonts w:ascii="Times New Roman" w:hAnsi="Times New Roman" w:cs="Times New Roman"/>
          <w:i/>
          <w:iCs/>
          <w:color w:val="000000"/>
          <w:lang w:val="en-GB"/>
        </w:rPr>
        <w:t>TCI-State</w:t>
      </w:r>
      <w:r>
        <w:rPr>
          <w:rFonts w:ascii="Times New Roman" w:hAnsi="Times New Roman" w:cs="Times New Roman"/>
          <w:color w:val="000000"/>
          <w:lang w:val="en-GB"/>
        </w:rPr>
        <w:t xml:space="preserve"> according to the value of the '</w:t>
      </w:r>
      <w:r>
        <w:rPr>
          <w:rFonts w:ascii="Times New Roman" w:hAnsi="Times New Roman" w:cs="Times New Roman"/>
          <w:i/>
          <w:iCs/>
          <w:color w:val="000000"/>
          <w:lang w:val="en-GB"/>
        </w:rPr>
        <w:t>Transmission Configuration Indication</w:t>
      </w:r>
      <w:r>
        <w:rPr>
          <w:rFonts w:ascii="Times New Roman" w:hAnsi="Times New Roman" w:cs="Times New Roman"/>
          <w:color w:val="000000"/>
          <w:lang w:val="en-GB"/>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Pr>
          <w:rFonts w:ascii="Times New Roman" w:hAnsi="Times New Roman" w:cs="Times New Roman"/>
          <w:i/>
          <w:iCs/>
          <w:color w:val="000000"/>
          <w:lang w:val="en-GB"/>
        </w:rPr>
        <w:t>timeDurationForQCL</w:t>
      </w:r>
      <w:r>
        <w:rPr>
          <w:rFonts w:ascii="Times New Roman" w:hAnsi="Times New Roman" w:cs="Times New Roman"/>
          <w:color w:val="000000"/>
          <w:lang w:val="en-GB"/>
        </w:rPr>
        <w:t xml:space="preserve">, where the threshold is based on reported UE capability [13, TS 38.306]. When the UE is configured with a single slot PDSCH, the indicated TCI state </w:t>
      </w:r>
      <w:r>
        <w:rPr>
          <w:rFonts w:ascii="Times New Roman" w:hAnsi="Times New Roman" w:cs="Times New Roman"/>
          <w:lang w:val="en-GB"/>
        </w:rPr>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Pr>
          <w:rFonts w:ascii="Times New Roman" w:hAnsi="Times New Roman" w:cs="Times New Roman"/>
          <w:color w:val="FF0000"/>
          <w:lang w:val="en-GB"/>
        </w:rPr>
        <w:t xml:space="preserve">When </w:t>
      </w:r>
      <w:r>
        <w:rPr>
          <w:rFonts w:ascii="Times New Roman" w:hAnsi="Times New Roman" w:cs="Times New Roman"/>
          <w:color w:val="FF0000"/>
        </w:rPr>
        <w:t>the UE is configured with higher payer parameter [</w:t>
      </w:r>
      <w:r>
        <w:rPr>
          <w:rFonts w:ascii="Times New Roman" w:hAnsi="Times New Roman" w:cs="Times New Roman"/>
          <w:i/>
          <w:iCs/>
          <w:color w:val="FF0000"/>
        </w:rPr>
        <w:t>pdsch-TimeDomainAllocationListForMultiPDSCH-r17</w:t>
      </w:r>
      <w:r>
        <w:rPr>
          <w:rFonts w:ascii="Times New Roman" w:hAnsi="Times New Roman" w:cs="Times New Roman"/>
          <w:color w:val="FF0000"/>
        </w:rPr>
        <w:t xml:space="preserve">] and not configured with </w:t>
      </w:r>
      <w:r>
        <w:rPr>
          <w:rFonts w:ascii="Times New Roman" w:hAnsi="Times New Roman" w:cs="Times New Roman"/>
          <w:color w:val="FF0000"/>
          <w:lang w:val="en-GB"/>
        </w:rPr>
        <w:t>a multi-slot PDSCH, the indicated TCI state should be based on the activated TCI states in the slot corresponding to the first scheduled PDSCH</w:t>
      </w:r>
      <w:r>
        <w:rPr>
          <w:rFonts w:ascii="Times New Roman" w:hAnsi="Times New Roman" w:cs="Times New Roman"/>
          <w:color w:val="FF0000"/>
          <w:highlight w:val="yellow"/>
          <w:lang w:val="en-GB"/>
        </w:rPr>
        <w:t>, and UE shall expect the activated TCI states are the same across the slots with the scheduled PDSCH</w:t>
      </w:r>
      <w:r>
        <w:rPr>
          <w:rFonts w:hint="eastAsia" w:eastAsia="宋体" w:cs="Times New Roman"/>
          <w:color w:val="FF0000"/>
          <w:highlight w:val="yellow"/>
          <w:lang w:val="en-US" w:eastAsia="zh-CN"/>
        </w:rPr>
        <w:t>(s)</w:t>
      </w:r>
      <w:r>
        <w:rPr>
          <w:rFonts w:ascii="Times New Roman" w:hAnsi="Times New Roman" w:cs="Times New Roman"/>
          <w:color w:val="FF0000"/>
          <w:highlight w:val="yellow"/>
          <w:lang w:val="en-GB"/>
        </w:rPr>
        <w:t>.</w:t>
      </w:r>
      <w:r>
        <w:rPr>
          <w:rFonts w:ascii="Times New Roman" w:hAnsi="Times New Roman" w:cs="Times New Roman"/>
          <w:color w:val="FF0000"/>
          <w:lang w:val="en-GB"/>
        </w:rPr>
        <w:t xml:space="preserve"> </w:t>
      </w:r>
      <w:r>
        <w:rPr>
          <w:rFonts w:ascii="Times New Roman" w:hAnsi="Times New Roman" w:cs="Times New Roman"/>
          <w:lang w:val="en-GB"/>
        </w:rPr>
        <w:t xml:space="preserve">When the UE is configured with CORESET associated with a search space set for cross-carrier scheduling and the UE is not configured with </w:t>
      </w:r>
      <w:r>
        <w:rPr>
          <w:rFonts w:ascii="Times New Roman" w:hAnsi="Times New Roman" w:cs="Times New Roman"/>
          <w:i/>
          <w:iCs/>
          <w:lang w:val="en-GB"/>
        </w:rPr>
        <w:t>enableDefaultBeamForCCS</w:t>
      </w:r>
      <w:r>
        <w:rPr>
          <w:rFonts w:ascii="Times New Roman" w:hAnsi="Times New Roman" w:cs="Times New Roman"/>
          <w:lang w:val="en-GB"/>
        </w:rPr>
        <w:t xml:space="preserve">, the UE expects </w:t>
      </w:r>
      <w:r>
        <w:rPr>
          <w:rFonts w:ascii="Times New Roman" w:hAnsi="Times New Roman" w:cs="Times New Roman"/>
          <w:i/>
          <w:iCs/>
          <w:lang w:val="en-GB"/>
        </w:rPr>
        <w:t xml:space="preserve">tci-PresentInDCI </w:t>
      </w:r>
      <w:r>
        <w:rPr>
          <w:rFonts w:ascii="Times New Roman" w:hAnsi="Times New Roman" w:cs="Times New Roman"/>
          <w:lang w:val="en-GB"/>
        </w:rPr>
        <w:t xml:space="preserve">is set as 'enabled' or </w:t>
      </w:r>
      <w:r>
        <w:rPr>
          <w:rFonts w:ascii="Times New Roman" w:hAnsi="Times New Roman" w:cs="Times New Roman"/>
          <w:i/>
          <w:iCs/>
          <w:lang w:val="en-GB"/>
        </w:rPr>
        <w:t xml:space="preserve">tci-PresentDCI-1-2 </w:t>
      </w:r>
      <w:r>
        <w:rPr>
          <w:rFonts w:ascii="Times New Roman" w:hAnsi="Times New Roman" w:cs="Times New Roman"/>
          <w:lang w:val="en-GB"/>
        </w:rPr>
        <w:t xml:space="preserve">is configured for the CORESET, and if one or more of the TCI states configured for the serving cell scheduled by the search space set contains </w:t>
      </w:r>
      <w:r>
        <w:rPr>
          <w:rFonts w:ascii="Times New Roman" w:hAnsi="Times New Roman" w:cs="Times New Roman"/>
          <w:i/>
          <w:iCs/>
          <w:color w:val="000000"/>
          <w:lang w:val="en-GB"/>
        </w:rPr>
        <w:t>qcl-Type</w:t>
      </w:r>
      <w:r>
        <w:rPr>
          <w:rFonts w:ascii="Times New Roman" w:hAnsi="Times New Roman" w:cs="Times New Roman"/>
          <w:color w:val="000000"/>
          <w:lang w:val="en-GB"/>
        </w:rPr>
        <w:t xml:space="preserve"> set to</w:t>
      </w:r>
      <w:r>
        <w:rPr>
          <w:rFonts w:ascii="Times New Roman" w:hAnsi="Times New Roman" w:cs="Times New Roman"/>
          <w:lang w:val="en-GB"/>
        </w:rPr>
        <w:t xml:space="preserve"> 'typeD', the UE expects the time offset between the reception of the detected PDCCH in the search space set and </w:t>
      </w:r>
      <w:r>
        <w:rPr>
          <w:rFonts w:ascii="Times New Roman" w:hAnsi="Times New Roman" w:cs="Times New Roman"/>
          <w:color w:val="auto"/>
          <w:lang w:val="en-GB"/>
        </w:rPr>
        <w:t>a</w:t>
      </w:r>
      <w:r>
        <w:rPr>
          <w:rFonts w:ascii="Times New Roman" w:hAnsi="Times New Roman" w:cs="Times New Roman"/>
          <w:color w:val="FF0000"/>
          <w:lang w:val="en-GB"/>
        </w:rPr>
        <w:t xml:space="preserve"> </w:t>
      </w:r>
      <w:r>
        <w:rPr>
          <w:rFonts w:ascii="Times New Roman" w:hAnsi="Times New Roman" w:cs="Times New Roman"/>
          <w:lang w:val="en-GB"/>
        </w:rPr>
        <w:t xml:space="preserve">corresponding PDSCH is larger than or equal to the threshold </w:t>
      </w:r>
      <w:r>
        <w:rPr>
          <w:rFonts w:ascii="Times New Roman" w:hAnsi="Times New Roman" w:cs="Times New Roman"/>
          <w:i/>
          <w:iCs/>
          <w:color w:val="000000"/>
          <w:lang w:val="en-GB"/>
        </w:rPr>
        <w:t>timeDurationForQCL</w:t>
      </w:r>
      <w:r>
        <w:rPr>
          <w:rFonts w:ascii="Times New Roman" w:hAnsi="Times New Roman" w:cs="Times New Roman"/>
          <w:i/>
          <w:iCs/>
          <w:lang w:val="en-GB"/>
        </w:rPr>
        <w:t>.</w:t>
      </w:r>
    </w:p>
    <w:p>
      <w:pPr>
        <w:pStyle w:val="15"/>
        <w:jc w:val="center"/>
        <w:rPr>
          <w:rFonts w:cs="Calibri"/>
          <w:color w:val="FF0000"/>
        </w:rPr>
      </w:pPr>
      <w:r>
        <w:rPr>
          <w:color w:val="FF0000"/>
        </w:rPr>
        <w:t>*** Unchanged text omitted ***</w:t>
      </w:r>
    </w:p>
    <w:p>
      <w:pPr>
        <w:snapToGrid w:val="0"/>
        <w:rPr>
          <w:rFonts w:ascii="Times New Roman" w:hAnsi="Times New Roman" w:cs="Times New Roman"/>
          <w:color w:val="FF0000"/>
        </w:rPr>
      </w:pPr>
      <w:r>
        <w:rPr>
          <w:rFonts w:ascii="Times New Roman" w:hAnsi="Times New Roman" w:cs="Times New Roman"/>
          <w:color w:val="FF0000"/>
        </w:rPr>
        <w:t>============================== End of TP</w:t>
      </w:r>
      <w:r>
        <w:rPr>
          <w:rFonts w:hint="eastAsia" w:eastAsia="宋体" w:cs="Times New Roman"/>
          <w:color w:val="FF0000"/>
          <w:lang w:val="en-US" w:eastAsia="zh-CN"/>
        </w:rPr>
        <w:t>#</w:t>
      </w:r>
      <w:r>
        <w:rPr>
          <w:rFonts w:hint="eastAsia" w:ascii="Times New Roman" w:hAnsi="Times New Roman" w:eastAsia="宋体" w:cs="Times New Roman"/>
          <w:color w:val="FF0000"/>
          <w:lang w:val="en-US" w:eastAsia="zh-CN"/>
        </w:rPr>
        <w:t>1-2</w:t>
      </w:r>
      <w:r>
        <w:rPr>
          <w:rFonts w:ascii="Times New Roman" w:hAnsi="Times New Roman" w:cs="Times New Roman"/>
          <w:color w:val="FF0000"/>
        </w:rPr>
        <w:t xml:space="preserve"> for TS 38.214 ===============================</w:t>
      </w:r>
    </w:p>
    <w:p>
      <w:pPr>
        <w:pStyle w:val="3"/>
        <w:numPr>
          <w:ilvl w:val="255"/>
          <w:numId w:val="0"/>
        </w:numPr>
        <w:snapToGrid w:val="0"/>
        <w:spacing w:after="240" w:line="260" w:lineRule="auto"/>
        <w:rPr>
          <w:rFonts w:hint="eastAsia" w:ascii="Times New Roman" w:hAnsi="Times New Roman"/>
          <w:b/>
          <w:bCs w:val="0"/>
          <w:color w:val="auto"/>
          <w:sz w:val="24"/>
          <w:szCs w:val="24"/>
          <w:lang w:val="en-US" w:eastAsia="zh-CN"/>
        </w:rPr>
      </w:pPr>
      <w:r>
        <w:rPr>
          <w:rFonts w:hint="eastAsia" w:ascii="Times New Roman" w:hAnsi="Times New Roman" w:eastAsia="Times New Roman"/>
          <w:b/>
          <w:bCs w:val="0"/>
          <w:color w:val="auto"/>
          <w:sz w:val="24"/>
          <w:szCs w:val="24"/>
          <w:lang w:val="en-US" w:eastAsia="zh-CN"/>
        </w:rPr>
        <w:t>2.</w:t>
      </w:r>
      <w:r>
        <w:rPr>
          <w:rFonts w:hint="eastAsia" w:ascii="Times New Roman" w:hAnsi="Times New Roman"/>
          <w:b/>
          <w:bCs w:val="0"/>
          <w:color w:val="auto"/>
          <w:sz w:val="24"/>
          <w:szCs w:val="24"/>
          <w:lang w:val="en-US" w:eastAsia="zh-CN"/>
        </w:rPr>
        <w:t>2</w:t>
      </w:r>
      <w:r>
        <w:rPr>
          <w:rFonts w:hint="eastAsia" w:ascii="Times New Roman" w:hAnsi="Times New Roman" w:eastAsia="Times New Roman"/>
          <w:b/>
          <w:bCs w:val="0"/>
          <w:color w:val="auto"/>
          <w:sz w:val="24"/>
          <w:szCs w:val="24"/>
          <w:lang w:val="en-US" w:eastAsia="zh-CN"/>
        </w:rPr>
        <w:t xml:space="preserve"> Beam switching gap</w:t>
      </w:r>
    </w:p>
    <w:p>
      <w:pPr>
        <w:widowControl w:val="0"/>
        <w:spacing w:line="260" w:lineRule="auto"/>
        <w:jc w:val="both"/>
        <w:rPr>
          <w:rFonts w:eastAsia="宋体"/>
          <w:sz w:val="21"/>
          <w:szCs w:val="21"/>
          <w:lang w:val="en-US" w:eastAsia="zh-CN"/>
        </w:rPr>
      </w:pPr>
      <w:r>
        <w:rPr>
          <w:rFonts w:hint="eastAsia" w:eastAsia="宋体"/>
          <w:sz w:val="21"/>
          <w:szCs w:val="21"/>
          <w:lang w:val="en-US" w:eastAsia="zh-CN"/>
        </w:rPr>
        <w:t xml:space="preserve">Table 1 shows the lengths of CP with SCSs = 120/480/960 kHz respectively. As shown in Table 1, we can see at least for SCSs = 120 kHz, NCP lengths can cover delay spread, time errors as well as beam switching time. However, for SCSs = 480/960 kHz, </w:t>
      </w:r>
      <w:r>
        <w:rPr>
          <w:sz w:val="21"/>
          <w:szCs w:val="21"/>
        </w:rPr>
        <w:t xml:space="preserve">larger </w:t>
      </w:r>
      <w:r>
        <w:rPr>
          <w:rFonts w:hint="eastAsia" w:eastAsia="宋体"/>
          <w:sz w:val="21"/>
          <w:szCs w:val="21"/>
          <w:lang w:val="en-US" w:eastAsia="zh-CN"/>
        </w:rPr>
        <w:t xml:space="preserve">SCSs </w:t>
      </w:r>
      <w:r>
        <w:rPr>
          <w:sz w:val="21"/>
          <w:szCs w:val="21"/>
        </w:rPr>
        <w:t>reduces the budget for timing errors and beam switching</w:t>
      </w:r>
      <w:r>
        <w:rPr>
          <w:rFonts w:hint="eastAsia" w:eastAsia="宋体"/>
          <w:sz w:val="21"/>
          <w:szCs w:val="21"/>
          <w:lang w:val="en-US" w:eastAsia="zh-CN"/>
        </w:rPr>
        <w:t>, and thus it is</w:t>
      </w:r>
      <w:r>
        <w:rPr>
          <w:rFonts w:eastAsia="宋体"/>
          <w:sz w:val="21"/>
          <w:szCs w:val="21"/>
          <w:lang w:val="en-US" w:eastAsia="zh-CN"/>
        </w:rPr>
        <w:t xml:space="preserve"> difficult to ensure that beam switching can be done </w:t>
      </w:r>
      <w:r>
        <w:rPr>
          <w:rFonts w:hint="eastAsia" w:eastAsia="宋体"/>
          <w:sz w:val="21"/>
          <w:szCs w:val="21"/>
          <w:lang w:val="en-US" w:eastAsia="zh-CN"/>
        </w:rPr>
        <w:t>with</w:t>
      </w:r>
      <w:r>
        <w:rPr>
          <w:rFonts w:eastAsia="宋体"/>
          <w:sz w:val="21"/>
          <w:szCs w:val="21"/>
          <w:lang w:val="en-US" w:eastAsia="zh-CN"/>
        </w:rPr>
        <w:t xml:space="preserve">in </w:t>
      </w:r>
      <w:r>
        <w:rPr>
          <w:rFonts w:hint="eastAsia" w:eastAsia="宋体"/>
          <w:sz w:val="21"/>
          <w:szCs w:val="21"/>
          <w:lang w:val="en-US" w:eastAsia="zh-CN"/>
        </w:rPr>
        <w:t>the lengths of NCP</w:t>
      </w:r>
      <w:r>
        <w:rPr>
          <w:rFonts w:hint="eastAsia" w:eastAsia="宋体"/>
          <w:sz w:val="21"/>
          <w:szCs w:val="21"/>
          <w:lang w:val="en-US"/>
        </w:rPr>
        <w:t xml:space="preserve">, if </w:t>
      </w:r>
      <w:r>
        <w:rPr>
          <w:rFonts w:hint="eastAsia" w:eastAsia="宋体"/>
          <w:sz w:val="21"/>
          <w:szCs w:val="21"/>
          <w:lang w:val="en-US" w:eastAsia="zh-CN"/>
        </w:rPr>
        <w:t>beam switching needs a long time.</w:t>
      </w:r>
    </w:p>
    <w:p>
      <w:pPr>
        <w:widowControl w:val="0"/>
        <w:spacing w:after="60" w:line="260" w:lineRule="auto"/>
        <w:jc w:val="center"/>
        <w:rPr>
          <w:rFonts w:hint="default" w:eastAsia="宋体"/>
          <w:sz w:val="21"/>
          <w:szCs w:val="21"/>
          <w:lang w:val="en-US" w:eastAsia="zh-CN"/>
        </w:rPr>
      </w:pPr>
      <w:r>
        <w:rPr>
          <w:rFonts w:eastAsia="宋体"/>
          <w:sz w:val="21"/>
          <w:szCs w:val="21"/>
          <w:lang w:val="en-US" w:eastAsia="zh-CN"/>
        </w:rPr>
        <w:t xml:space="preserve">Table 1: the lengths of CP </w:t>
      </w:r>
      <w:r>
        <w:rPr>
          <w:rFonts w:hint="eastAsia" w:eastAsia="宋体"/>
          <w:sz w:val="21"/>
          <w:szCs w:val="21"/>
          <w:lang w:val="en-US" w:eastAsia="zh-CN"/>
        </w:rPr>
        <w:t xml:space="preserve">with each </w:t>
      </w:r>
      <w:r>
        <w:rPr>
          <w:rFonts w:eastAsia="宋体"/>
          <w:sz w:val="21"/>
          <w:szCs w:val="21"/>
          <w:lang w:val="en-US" w:eastAsia="zh-CN"/>
        </w:rPr>
        <w:t>SCS</w:t>
      </w:r>
      <w:r>
        <w:rPr>
          <w:rFonts w:hint="eastAsia" w:eastAsia="宋体"/>
          <w:sz w:val="21"/>
          <w:szCs w:val="21"/>
          <w:lang w:val="en-US" w:eastAsia="zh-CN"/>
        </w:rPr>
        <w:t xml:space="preserve"> supported in above 52.6GHz</w:t>
      </w:r>
    </w:p>
    <w:tbl>
      <w:tblPr>
        <w:tblStyle w:val="26"/>
        <w:tblW w:w="63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7"/>
        <w:gridCol w:w="771"/>
        <w:gridCol w:w="965"/>
        <w:gridCol w:w="1446"/>
        <w:gridCol w:w="1391"/>
        <w:gridCol w:w="13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 w:type="dxa"/>
            <w:shd w:val="clear" w:color="auto" w:fill="F1F1F1" w:themeFill="background1" w:themeFillShade="F2"/>
          </w:tcPr>
          <w:p>
            <w:pPr>
              <w:widowControl w:val="0"/>
              <w:spacing w:after="60" w:line="260" w:lineRule="auto"/>
              <w:jc w:val="center"/>
              <w:rPr>
                <w:rFonts w:eastAsia="宋体"/>
                <w:lang w:val="en-US" w:eastAsia="zh-CN"/>
              </w:rPr>
            </w:pPr>
            <w:r>
              <w:rPr>
                <w:rFonts w:eastAsia="宋体"/>
                <w:lang w:val="en-US" w:eastAsia="zh-CN"/>
              </w:rPr>
              <w:t>u</w:t>
            </w:r>
          </w:p>
        </w:tc>
        <w:tc>
          <w:tcPr>
            <w:tcW w:w="771" w:type="dxa"/>
            <w:shd w:val="clear" w:color="auto" w:fill="F1F1F1" w:themeFill="background1" w:themeFillShade="F2"/>
          </w:tcPr>
          <w:p>
            <w:pPr>
              <w:widowControl w:val="0"/>
              <w:spacing w:after="60" w:line="260" w:lineRule="auto"/>
              <w:jc w:val="center"/>
              <w:rPr>
                <w:rFonts w:eastAsia="宋体"/>
                <w:lang w:val="en-US" w:eastAsia="zh-CN"/>
              </w:rPr>
            </w:pPr>
            <w:r>
              <w:rPr>
                <w:rFonts w:eastAsia="宋体"/>
                <w:lang w:val="en-US" w:eastAsia="zh-CN"/>
              </w:rPr>
              <w:t xml:space="preserve">SCS </w:t>
            </w:r>
          </w:p>
          <w:p>
            <w:pPr>
              <w:widowControl w:val="0"/>
              <w:spacing w:after="60" w:line="260" w:lineRule="auto"/>
              <w:jc w:val="center"/>
              <w:rPr>
                <w:rFonts w:eastAsia="宋体"/>
                <w:lang w:val="en-US" w:eastAsia="zh-CN"/>
              </w:rPr>
            </w:pPr>
            <w:r>
              <w:rPr>
                <w:rFonts w:eastAsia="宋体"/>
                <w:lang w:val="en-US" w:eastAsia="zh-CN"/>
              </w:rPr>
              <w:t>(kHz)</w:t>
            </w:r>
          </w:p>
        </w:tc>
        <w:tc>
          <w:tcPr>
            <w:tcW w:w="965" w:type="dxa"/>
            <w:shd w:val="clear" w:color="auto" w:fill="F1F1F1" w:themeFill="background1" w:themeFillShade="F2"/>
          </w:tcPr>
          <w:p>
            <w:pPr>
              <w:widowControl w:val="0"/>
              <w:spacing w:after="60" w:line="260" w:lineRule="auto"/>
              <w:jc w:val="center"/>
              <w:rPr>
                <w:rFonts w:eastAsia="宋体"/>
                <w:lang w:val="en-US" w:eastAsia="zh-CN"/>
              </w:rPr>
            </w:pPr>
            <w:r>
              <w:rPr>
                <w:rFonts w:eastAsia="宋体"/>
                <w:lang w:val="en-US" w:eastAsia="zh-CN"/>
              </w:rPr>
              <w:t>Slot</w:t>
            </w:r>
          </w:p>
          <w:p>
            <w:pPr>
              <w:widowControl w:val="0"/>
              <w:spacing w:after="60" w:line="260" w:lineRule="auto"/>
              <w:jc w:val="center"/>
              <w:rPr>
                <w:rFonts w:eastAsia="宋体"/>
                <w:lang w:val="en-US" w:eastAsia="zh-CN"/>
              </w:rPr>
            </w:pPr>
            <w:r>
              <w:rPr>
                <w:rFonts w:eastAsia="宋体"/>
                <w:lang w:val="en-US" w:eastAsia="zh-CN"/>
              </w:rPr>
              <w:t>length</w:t>
            </w:r>
          </w:p>
          <w:p>
            <w:pPr>
              <w:widowControl w:val="0"/>
              <w:spacing w:after="60" w:line="260" w:lineRule="auto"/>
              <w:jc w:val="center"/>
              <w:rPr>
                <w:rFonts w:eastAsia="宋体"/>
                <w:lang w:val="en-US" w:eastAsia="zh-CN"/>
              </w:rPr>
            </w:pPr>
            <w:r>
              <w:rPr>
                <w:rFonts w:eastAsia="宋体"/>
                <w:lang w:val="en-US" w:eastAsia="zh-CN"/>
              </w:rPr>
              <w:t>(us)</w:t>
            </w:r>
          </w:p>
        </w:tc>
        <w:tc>
          <w:tcPr>
            <w:tcW w:w="1446" w:type="dxa"/>
            <w:shd w:val="clear" w:color="auto" w:fill="F1F1F1" w:themeFill="background1" w:themeFillShade="F2"/>
          </w:tcPr>
          <w:p>
            <w:pPr>
              <w:widowControl w:val="0"/>
              <w:spacing w:after="60" w:line="260" w:lineRule="auto"/>
              <w:jc w:val="center"/>
              <w:rPr>
                <w:rFonts w:eastAsia="宋体"/>
                <w:lang w:val="en-US" w:eastAsia="zh-CN"/>
              </w:rPr>
            </w:pPr>
            <w:r>
              <w:rPr>
                <w:rFonts w:eastAsia="宋体"/>
                <w:lang w:val="en-US" w:eastAsia="zh-CN"/>
              </w:rPr>
              <w:t>Symbol length</w:t>
            </w:r>
          </w:p>
        </w:tc>
        <w:tc>
          <w:tcPr>
            <w:tcW w:w="1391" w:type="dxa"/>
            <w:shd w:val="clear" w:color="auto" w:fill="F1F1F1" w:themeFill="background1" w:themeFillShade="F2"/>
          </w:tcPr>
          <w:p>
            <w:pPr>
              <w:widowControl w:val="0"/>
              <w:spacing w:after="60" w:line="260" w:lineRule="auto"/>
              <w:jc w:val="center"/>
              <w:rPr>
                <w:rFonts w:eastAsia="宋体"/>
                <w:lang w:val="en-US" w:eastAsia="zh-CN"/>
              </w:rPr>
            </w:pPr>
            <w:r>
              <w:rPr>
                <w:rFonts w:eastAsia="宋体"/>
                <w:lang w:val="en-US" w:eastAsia="zh-CN"/>
              </w:rPr>
              <w:t>NCP length</w:t>
            </w:r>
          </w:p>
          <w:p>
            <w:pPr>
              <w:widowControl w:val="0"/>
              <w:spacing w:after="60" w:line="260" w:lineRule="auto"/>
              <w:jc w:val="center"/>
              <w:rPr>
                <w:rFonts w:eastAsia="宋体"/>
                <w:lang w:val="en-US" w:eastAsia="zh-CN"/>
              </w:rPr>
            </w:pPr>
            <w:r>
              <w:rPr>
                <w:rFonts w:eastAsia="宋体"/>
                <w:lang w:val="en-US" w:eastAsia="zh-CN"/>
              </w:rPr>
              <w:t>(</w:t>
            </w:r>
            <w:r>
              <w:rPr>
                <w:rFonts w:eastAsia="宋体"/>
                <w:position w:val="-6"/>
                <w:lang w:val="en-US" w:eastAsia="zh-CN"/>
              </w:rPr>
              <w:object>
                <v:shape id="_x0000_i1025" o:spt="75" type="#_x0000_t75" style="height:14.3pt;width:25.4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rPr>
                <w:rFonts w:eastAsia="宋体"/>
                <w:lang w:val="en-US" w:eastAsia="zh-CN"/>
              </w:rPr>
              <w:t xml:space="preserve"> and </w:t>
            </w:r>
            <w:r>
              <w:rPr>
                <w:rFonts w:eastAsia="宋体"/>
                <w:position w:val="-6"/>
                <w:lang w:val="en-US" w:eastAsia="zh-CN"/>
              </w:rPr>
              <w:object>
                <v:shape id="_x0000_i1026" o:spt="75" type="#_x0000_t75" style="height:16.6pt;width:42.9pt;" o:ole="t"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0">
                  <o:LockedField>false</o:LockedField>
                </o:OLEObject>
              </w:object>
            </w:r>
            <w:r>
              <w:rPr>
                <w:rFonts w:eastAsia="宋体"/>
                <w:lang w:val="en-US" w:eastAsia="zh-CN"/>
              </w:rPr>
              <w:t>)</w:t>
            </w:r>
          </w:p>
        </w:tc>
        <w:tc>
          <w:tcPr>
            <w:tcW w:w="1303" w:type="dxa"/>
            <w:shd w:val="clear" w:color="auto" w:fill="F1F1F1" w:themeFill="background1" w:themeFillShade="F2"/>
          </w:tcPr>
          <w:p>
            <w:pPr>
              <w:widowControl w:val="0"/>
              <w:spacing w:after="60" w:line="260" w:lineRule="auto"/>
              <w:jc w:val="center"/>
              <w:rPr>
                <w:rFonts w:eastAsia="宋体"/>
                <w:lang w:val="en-US" w:eastAsia="zh-CN"/>
              </w:rPr>
            </w:pPr>
            <w:r>
              <w:rPr>
                <w:rFonts w:eastAsia="宋体"/>
                <w:lang w:val="en-US" w:eastAsia="zh-CN"/>
              </w:rPr>
              <w:t>NCP length</w:t>
            </w:r>
          </w:p>
          <w:p>
            <w:pPr>
              <w:widowControl w:val="0"/>
              <w:spacing w:after="60" w:line="260" w:lineRule="auto"/>
              <w:jc w:val="center"/>
              <w:rPr>
                <w:rFonts w:eastAsia="宋体"/>
                <w:lang w:val="en-US" w:eastAsia="zh-CN"/>
              </w:rPr>
            </w:pPr>
            <w:r>
              <w:rPr>
                <w:rFonts w:eastAsia="宋体"/>
                <w:lang w:val="en-US" w:eastAsia="zh-CN"/>
              </w:rPr>
              <w:t>(</w:t>
            </w:r>
            <w:r>
              <w:rPr>
                <w:rFonts w:eastAsia="宋体"/>
                <w:position w:val="-6"/>
                <w:lang w:val="en-US" w:eastAsia="zh-CN"/>
              </w:rPr>
              <w:object>
                <v:shape id="_x0000_i1027" o:spt="75" type="#_x0000_t75" style="height:14.3pt;width:25.4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r>
              <w:rPr>
                <w:rFonts w:eastAsia="宋体"/>
                <w:lang w:val="en-US" w:eastAsia="zh-CN"/>
              </w:rPr>
              <w:t xml:space="preserve"> or</w:t>
            </w:r>
          </w:p>
          <w:p>
            <w:pPr>
              <w:widowControl w:val="0"/>
              <w:spacing w:after="60" w:line="260" w:lineRule="auto"/>
              <w:jc w:val="center"/>
              <w:rPr>
                <w:rFonts w:eastAsia="宋体"/>
                <w:lang w:val="en-US" w:eastAsia="zh-CN"/>
              </w:rPr>
            </w:pPr>
            <w:r>
              <w:rPr>
                <w:rFonts w:eastAsia="宋体"/>
                <w:position w:val="-6"/>
                <w:lang w:val="en-US" w:eastAsia="zh-CN"/>
              </w:rPr>
              <w:object>
                <v:shape id="_x0000_i1028" o:spt="75" type="#_x0000_t75" style="height:16.6pt;width:42.9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r>
              <w:rPr>
                <w:rFonts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 w:type="dxa"/>
          </w:tcPr>
          <w:p>
            <w:pPr>
              <w:widowControl w:val="0"/>
              <w:spacing w:after="60" w:line="260" w:lineRule="auto"/>
              <w:jc w:val="center"/>
              <w:rPr>
                <w:rFonts w:eastAsia="宋体"/>
                <w:lang w:val="en-US" w:eastAsia="zh-CN"/>
              </w:rPr>
            </w:pPr>
            <w:r>
              <w:rPr>
                <w:rFonts w:eastAsia="宋体"/>
                <w:lang w:val="en-US" w:eastAsia="zh-CN"/>
              </w:rPr>
              <w:t>3</w:t>
            </w:r>
          </w:p>
        </w:tc>
        <w:tc>
          <w:tcPr>
            <w:tcW w:w="771" w:type="dxa"/>
          </w:tcPr>
          <w:p>
            <w:pPr>
              <w:widowControl w:val="0"/>
              <w:spacing w:after="60" w:line="260" w:lineRule="auto"/>
              <w:jc w:val="center"/>
              <w:rPr>
                <w:rFonts w:eastAsia="宋体"/>
                <w:lang w:val="en-US" w:eastAsia="zh-CN"/>
              </w:rPr>
            </w:pPr>
            <w:r>
              <w:rPr>
                <w:rFonts w:eastAsia="宋体"/>
                <w:lang w:val="en-US" w:eastAsia="zh-CN"/>
              </w:rPr>
              <w:t>120</w:t>
            </w:r>
          </w:p>
        </w:tc>
        <w:tc>
          <w:tcPr>
            <w:tcW w:w="965" w:type="dxa"/>
          </w:tcPr>
          <w:p>
            <w:pPr>
              <w:widowControl w:val="0"/>
              <w:spacing w:after="60" w:line="260" w:lineRule="auto"/>
              <w:jc w:val="center"/>
              <w:rPr>
                <w:rFonts w:eastAsia="宋体"/>
                <w:lang w:val="en-US" w:eastAsia="zh-CN"/>
              </w:rPr>
            </w:pPr>
            <w:r>
              <w:rPr>
                <w:rFonts w:eastAsia="宋体"/>
                <w:lang w:val="en-US" w:eastAsia="zh-CN"/>
              </w:rPr>
              <w:t>125</w:t>
            </w:r>
          </w:p>
        </w:tc>
        <w:tc>
          <w:tcPr>
            <w:tcW w:w="1446" w:type="dxa"/>
          </w:tcPr>
          <w:p>
            <w:pPr>
              <w:widowControl w:val="0"/>
              <w:spacing w:after="60" w:line="260" w:lineRule="auto"/>
              <w:jc w:val="center"/>
              <w:rPr>
                <w:rFonts w:eastAsia="宋体"/>
                <w:lang w:val="en-US" w:eastAsia="zh-CN"/>
              </w:rPr>
            </w:pPr>
            <w:r>
              <w:rPr>
                <w:rFonts w:eastAsia="宋体"/>
                <w:lang w:val="en-US" w:eastAsia="zh-CN"/>
              </w:rPr>
              <w:t>8333 ns</w:t>
            </w:r>
          </w:p>
        </w:tc>
        <w:tc>
          <w:tcPr>
            <w:tcW w:w="1391" w:type="dxa"/>
          </w:tcPr>
          <w:p>
            <w:pPr>
              <w:widowControl w:val="0"/>
              <w:spacing w:after="60" w:line="260" w:lineRule="auto"/>
              <w:jc w:val="center"/>
              <w:rPr>
                <w:rFonts w:eastAsia="宋体"/>
                <w:lang w:val="en-US" w:eastAsia="zh-CN"/>
              </w:rPr>
            </w:pPr>
            <w:r>
              <w:rPr>
                <w:rFonts w:eastAsia="宋体"/>
                <w:lang w:val="en-US" w:eastAsia="zh-CN"/>
              </w:rPr>
              <w:t>586 ns</w:t>
            </w:r>
          </w:p>
        </w:tc>
        <w:tc>
          <w:tcPr>
            <w:tcW w:w="1303" w:type="dxa"/>
          </w:tcPr>
          <w:p>
            <w:pPr>
              <w:widowControl w:val="0"/>
              <w:spacing w:after="60" w:line="260" w:lineRule="auto"/>
              <w:jc w:val="center"/>
              <w:rPr>
                <w:rFonts w:eastAsia="宋体"/>
                <w:lang w:val="en-US" w:eastAsia="zh-CN"/>
              </w:rPr>
            </w:pPr>
            <w:r>
              <w:rPr>
                <w:rFonts w:eastAsia="宋体"/>
                <w:lang w:val="en-US" w:eastAsia="zh-CN"/>
              </w:rPr>
              <w:t>1107 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 w:type="dxa"/>
          </w:tcPr>
          <w:p>
            <w:pPr>
              <w:widowControl w:val="0"/>
              <w:spacing w:after="60" w:line="260" w:lineRule="auto"/>
              <w:jc w:val="center"/>
              <w:rPr>
                <w:rFonts w:eastAsia="宋体"/>
                <w:lang w:val="en-US" w:eastAsia="zh-CN"/>
              </w:rPr>
            </w:pPr>
            <w:r>
              <w:rPr>
                <w:rFonts w:eastAsia="宋体"/>
                <w:lang w:val="en-US" w:eastAsia="zh-CN"/>
              </w:rPr>
              <w:t>5</w:t>
            </w:r>
          </w:p>
        </w:tc>
        <w:tc>
          <w:tcPr>
            <w:tcW w:w="771" w:type="dxa"/>
          </w:tcPr>
          <w:p>
            <w:pPr>
              <w:widowControl w:val="0"/>
              <w:spacing w:after="60" w:line="260" w:lineRule="auto"/>
              <w:jc w:val="center"/>
              <w:rPr>
                <w:rFonts w:eastAsia="宋体"/>
                <w:lang w:val="en-US" w:eastAsia="zh-CN"/>
              </w:rPr>
            </w:pPr>
            <w:r>
              <w:rPr>
                <w:rFonts w:eastAsia="宋体"/>
                <w:lang w:val="en-US" w:eastAsia="zh-CN"/>
              </w:rPr>
              <w:t>480</w:t>
            </w:r>
          </w:p>
        </w:tc>
        <w:tc>
          <w:tcPr>
            <w:tcW w:w="965" w:type="dxa"/>
          </w:tcPr>
          <w:p>
            <w:pPr>
              <w:widowControl w:val="0"/>
              <w:spacing w:after="60" w:line="260" w:lineRule="auto"/>
              <w:jc w:val="center"/>
              <w:rPr>
                <w:rFonts w:eastAsia="宋体"/>
                <w:lang w:val="en-US" w:eastAsia="zh-CN"/>
              </w:rPr>
            </w:pPr>
            <w:r>
              <w:rPr>
                <w:rFonts w:eastAsia="宋体"/>
                <w:lang w:val="en-US" w:eastAsia="zh-CN"/>
              </w:rPr>
              <w:t>31.25</w:t>
            </w:r>
          </w:p>
        </w:tc>
        <w:tc>
          <w:tcPr>
            <w:tcW w:w="1446" w:type="dxa"/>
          </w:tcPr>
          <w:p>
            <w:pPr>
              <w:widowControl w:val="0"/>
              <w:spacing w:after="60" w:line="260" w:lineRule="auto"/>
              <w:jc w:val="center"/>
              <w:rPr>
                <w:rFonts w:eastAsia="宋体"/>
                <w:lang w:val="en-US" w:eastAsia="zh-CN"/>
              </w:rPr>
            </w:pPr>
            <w:r>
              <w:rPr>
                <w:rFonts w:eastAsia="宋体"/>
                <w:lang w:val="en-US" w:eastAsia="zh-CN"/>
              </w:rPr>
              <w:t>2083 ns</w:t>
            </w:r>
          </w:p>
        </w:tc>
        <w:tc>
          <w:tcPr>
            <w:tcW w:w="1391" w:type="dxa"/>
          </w:tcPr>
          <w:p>
            <w:pPr>
              <w:widowControl w:val="0"/>
              <w:spacing w:after="60" w:line="260" w:lineRule="auto"/>
              <w:jc w:val="center"/>
              <w:rPr>
                <w:rFonts w:eastAsia="宋体"/>
                <w:highlight w:val="yellow"/>
                <w:lang w:val="en-US" w:eastAsia="zh-CN"/>
              </w:rPr>
            </w:pPr>
            <w:r>
              <w:rPr>
                <w:rFonts w:eastAsia="宋体"/>
                <w:highlight w:val="yellow"/>
                <w:lang w:val="en-US" w:eastAsia="zh-CN"/>
              </w:rPr>
              <w:t>146 ns</w:t>
            </w:r>
          </w:p>
        </w:tc>
        <w:tc>
          <w:tcPr>
            <w:tcW w:w="1303" w:type="dxa"/>
          </w:tcPr>
          <w:p>
            <w:pPr>
              <w:widowControl w:val="0"/>
              <w:spacing w:after="60" w:line="260" w:lineRule="auto"/>
              <w:jc w:val="center"/>
              <w:rPr>
                <w:rFonts w:eastAsia="宋体"/>
                <w:lang w:val="en-US" w:eastAsia="zh-CN"/>
              </w:rPr>
            </w:pPr>
            <w:r>
              <w:rPr>
                <w:rFonts w:eastAsia="宋体"/>
                <w:lang w:val="en-US" w:eastAsia="zh-CN"/>
              </w:rPr>
              <w:t>667 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 w:type="dxa"/>
          </w:tcPr>
          <w:p>
            <w:pPr>
              <w:widowControl w:val="0"/>
              <w:spacing w:after="60" w:line="260" w:lineRule="auto"/>
              <w:jc w:val="center"/>
              <w:rPr>
                <w:rFonts w:eastAsia="宋体"/>
                <w:lang w:val="en-US" w:eastAsia="zh-CN"/>
              </w:rPr>
            </w:pPr>
            <w:r>
              <w:rPr>
                <w:rFonts w:eastAsia="宋体"/>
                <w:lang w:val="en-US" w:eastAsia="zh-CN"/>
              </w:rPr>
              <w:t>6</w:t>
            </w:r>
          </w:p>
        </w:tc>
        <w:tc>
          <w:tcPr>
            <w:tcW w:w="771" w:type="dxa"/>
          </w:tcPr>
          <w:p>
            <w:pPr>
              <w:widowControl w:val="0"/>
              <w:spacing w:after="60" w:line="260" w:lineRule="auto"/>
              <w:jc w:val="center"/>
              <w:rPr>
                <w:rFonts w:eastAsia="宋体"/>
                <w:lang w:val="en-US" w:eastAsia="zh-CN"/>
              </w:rPr>
            </w:pPr>
            <w:r>
              <w:rPr>
                <w:rFonts w:eastAsia="宋体"/>
                <w:lang w:val="en-US" w:eastAsia="zh-CN"/>
              </w:rPr>
              <w:t>960</w:t>
            </w:r>
          </w:p>
        </w:tc>
        <w:tc>
          <w:tcPr>
            <w:tcW w:w="965" w:type="dxa"/>
          </w:tcPr>
          <w:p>
            <w:pPr>
              <w:widowControl w:val="0"/>
              <w:spacing w:after="60" w:line="260" w:lineRule="auto"/>
              <w:jc w:val="center"/>
              <w:rPr>
                <w:rFonts w:eastAsia="宋体"/>
                <w:lang w:val="en-US" w:eastAsia="zh-CN"/>
              </w:rPr>
            </w:pPr>
            <w:r>
              <w:rPr>
                <w:rFonts w:eastAsia="宋体"/>
                <w:lang w:val="en-US" w:eastAsia="zh-CN"/>
              </w:rPr>
              <w:t>15.625</w:t>
            </w:r>
          </w:p>
        </w:tc>
        <w:tc>
          <w:tcPr>
            <w:tcW w:w="1446" w:type="dxa"/>
          </w:tcPr>
          <w:p>
            <w:pPr>
              <w:widowControl w:val="0"/>
              <w:spacing w:after="60" w:line="260" w:lineRule="auto"/>
              <w:jc w:val="center"/>
              <w:rPr>
                <w:rFonts w:eastAsia="宋体"/>
                <w:lang w:val="en-US" w:eastAsia="zh-CN"/>
              </w:rPr>
            </w:pPr>
            <w:r>
              <w:rPr>
                <w:rFonts w:eastAsia="宋体"/>
                <w:lang w:val="en-US" w:eastAsia="zh-CN"/>
              </w:rPr>
              <w:t>1042 ns</w:t>
            </w:r>
          </w:p>
        </w:tc>
        <w:tc>
          <w:tcPr>
            <w:tcW w:w="1391" w:type="dxa"/>
          </w:tcPr>
          <w:p>
            <w:pPr>
              <w:widowControl w:val="0"/>
              <w:spacing w:after="60" w:line="260" w:lineRule="auto"/>
              <w:jc w:val="center"/>
              <w:rPr>
                <w:rFonts w:eastAsia="宋体"/>
                <w:highlight w:val="yellow"/>
                <w:lang w:val="en-US" w:eastAsia="zh-CN"/>
              </w:rPr>
            </w:pPr>
            <w:r>
              <w:rPr>
                <w:rFonts w:eastAsia="宋体"/>
                <w:highlight w:val="yellow"/>
                <w:lang w:val="en-US" w:eastAsia="zh-CN"/>
              </w:rPr>
              <w:t>73 ns</w:t>
            </w:r>
          </w:p>
        </w:tc>
        <w:tc>
          <w:tcPr>
            <w:tcW w:w="1303" w:type="dxa"/>
          </w:tcPr>
          <w:p>
            <w:pPr>
              <w:widowControl w:val="0"/>
              <w:spacing w:after="60" w:line="260" w:lineRule="auto"/>
              <w:jc w:val="center"/>
              <w:rPr>
                <w:rFonts w:eastAsia="宋体"/>
                <w:lang w:val="en-US" w:eastAsia="zh-CN"/>
              </w:rPr>
            </w:pPr>
            <w:r>
              <w:rPr>
                <w:rFonts w:eastAsia="宋体"/>
                <w:lang w:val="en-US" w:eastAsia="zh-CN"/>
              </w:rPr>
              <w:t>594 ns</w:t>
            </w:r>
          </w:p>
        </w:tc>
      </w:tr>
    </w:tbl>
    <w:p>
      <w:pPr>
        <w:widowControl w:val="0"/>
        <w:spacing w:before="180" w:line="260" w:lineRule="auto"/>
        <w:jc w:val="both"/>
        <w:rPr>
          <w:rFonts w:hint="default" w:eastAsia="宋体"/>
          <w:color w:val="auto"/>
          <w:sz w:val="21"/>
          <w:szCs w:val="21"/>
          <w:lang w:val="en-US" w:eastAsia="zh-CN"/>
        </w:rPr>
      </w:pPr>
      <w:r>
        <w:rPr>
          <w:rFonts w:eastAsia="宋体"/>
          <w:sz w:val="21"/>
          <w:szCs w:val="21"/>
          <w:lang w:val="en-US" w:eastAsia="zh-CN"/>
        </w:rPr>
        <w:t>I</w:t>
      </w:r>
      <w:r>
        <w:rPr>
          <w:rFonts w:eastAsia="宋体"/>
          <w:sz w:val="21"/>
          <w:szCs w:val="21"/>
          <w:lang w:val="en-US"/>
        </w:rPr>
        <w:t>n the</w:t>
      </w:r>
      <w:r>
        <w:rPr>
          <w:rFonts w:eastAsia="宋体"/>
          <w:sz w:val="21"/>
          <w:szCs w:val="21"/>
          <w:lang w:val="en-US" w:eastAsia="zh-CN"/>
        </w:rPr>
        <w:t xml:space="preserve"> reply LS R1-2106425</w:t>
      </w:r>
      <w:r>
        <w:rPr>
          <w:rFonts w:hint="eastAsia" w:eastAsia="宋体"/>
          <w:sz w:val="21"/>
          <w:szCs w:val="21"/>
          <w:lang w:val="en-US" w:eastAsia="zh-CN"/>
        </w:rPr>
        <w:t xml:space="preserve"> [1] </w:t>
      </w:r>
      <w:r>
        <w:rPr>
          <w:rFonts w:eastAsia="宋体"/>
          <w:sz w:val="21"/>
          <w:szCs w:val="21"/>
          <w:lang w:val="en-US"/>
        </w:rPr>
        <w:t xml:space="preserve">from RAN4 to RAN1, </w:t>
      </w:r>
      <w:r>
        <w:rPr>
          <w:rFonts w:eastAsia="宋体"/>
          <w:sz w:val="21"/>
          <w:szCs w:val="21"/>
          <w:lang w:val="en-US" w:eastAsia="zh-CN"/>
        </w:rPr>
        <w:t xml:space="preserve">for </w:t>
      </w:r>
      <w:r>
        <w:rPr>
          <w:sz w:val="21"/>
          <w:szCs w:val="21"/>
        </w:rPr>
        <w:t xml:space="preserve">gNB </w:t>
      </w:r>
      <w:r>
        <w:rPr>
          <w:rFonts w:eastAsia="宋体"/>
          <w:sz w:val="21"/>
          <w:szCs w:val="21"/>
          <w:lang w:val="en-US" w:eastAsia="zh-CN"/>
        </w:rPr>
        <w:t>b</w:t>
      </w:r>
      <w:r>
        <w:rPr>
          <w:sz w:val="21"/>
          <w:szCs w:val="21"/>
        </w:rPr>
        <w:t>eam switch time (beam direction switch only)</w:t>
      </w:r>
      <w:r>
        <w:rPr>
          <w:rFonts w:eastAsia="宋体"/>
          <w:sz w:val="21"/>
          <w:szCs w:val="21"/>
          <w:lang w:val="en-US" w:eastAsia="zh-CN"/>
        </w:rPr>
        <w:t xml:space="preserve">, </w:t>
      </w:r>
      <w:r>
        <w:rPr>
          <w:rFonts w:eastAsia="宋体"/>
          <w:sz w:val="21"/>
          <w:szCs w:val="21"/>
          <w:lang w:val="en-US"/>
        </w:rPr>
        <w:t>RAN4 tentatively agrees [59 ns]</w:t>
      </w:r>
      <w:r>
        <w:rPr>
          <w:rFonts w:eastAsia="宋体"/>
          <w:sz w:val="21"/>
          <w:szCs w:val="21"/>
          <w:lang w:val="en-US" w:eastAsia="zh-CN"/>
        </w:rPr>
        <w:t xml:space="preserve"> </w:t>
      </w:r>
      <w:r>
        <w:rPr>
          <w:sz w:val="21"/>
          <w:szCs w:val="21"/>
        </w:rPr>
        <w:t>with the understanding that the value can be confirmed once open issues related to BS output power are resolved</w:t>
      </w:r>
      <w:r>
        <w:rPr>
          <w:rFonts w:eastAsia="宋体"/>
          <w:sz w:val="21"/>
          <w:szCs w:val="21"/>
          <w:lang w:val="en-US" w:eastAsia="zh-CN"/>
        </w:rPr>
        <w:t>. But for UE b</w:t>
      </w:r>
      <w:r>
        <w:rPr>
          <w:sz w:val="21"/>
          <w:szCs w:val="21"/>
        </w:rPr>
        <w:t>eam switch time (beam direction switch only)</w:t>
      </w:r>
      <w:r>
        <w:rPr>
          <w:rFonts w:eastAsia="宋体"/>
          <w:sz w:val="21"/>
          <w:szCs w:val="21"/>
          <w:lang w:val="en-US" w:eastAsia="zh-CN"/>
        </w:rPr>
        <w:t xml:space="preserve">, </w:t>
      </w:r>
      <w:r>
        <w:rPr>
          <w:rFonts w:hint="eastAsia" w:eastAsia="宋体"/>
          <w:sz w:val="21"/>
          <w:szCs w:val="21"/>
          <w:lang w:val="en-US" w:eastAsia="zh-CN"/>
        </w:rPr>
        <w:t xml:space="preserve">RAN4 has not decided yet and will further study. However, even if </w:t>
      </w:r>
      <w:r>
        <w:rPr>
          <w:rFonts w:hint="eastAsia"/>
          <w:sz w:val="21"/>
          <w:szCs w:val="21"/>
          <w:lang w:val="en-US" w:eastAsia="zh-CN"/>
        </w:rPr>
        <w:t>the lengths of CP with new SCSs 480/960 kHz are not enough for beam switching, t</w:t>
      </w:r>
      <w:r>
        <w:rPr>
          <w:sz w:val="21"/>
          <w:szCs w:val="21"/>
          <w:lang w:val="en-US" w:eastAsia="zh-CN"/>
        </w:rPr>
        <w:t>he exis</w:t>
      </w:r>
      <w:r>
        <w:rPr>
          <w:color w:val="auto"/>
          <w:sz w:val="21"/>
          <w:szCs w:val="21"/>
          <w:lang w:val="en-US" w:eastAsia="zh-CN"/>
        </w:rPr>
        <w:t xml:space="preserve">ting </w:t>
      </w:r>
      <w:r>
        <w:rPr>
          <w:rFonts w:hint="eastAsia"/>
          <w:color w:val="auto"/>
          <w:sz w:val="21"/>
          <w:szCs w:val="21"/>
          <w:lang w:val="en-US" w:eastAsia="zh-CN"/>
        </w:rPr>
        <w:t xml:space="preserve">NR specifications </w:t>
      </w:r>
      <w:r>
        <w:rPr>
          <w:color w:val="auto"/>
          <w:sz w:val="21"/>
          <w:szCs w:val="21"/>
          <w:lang w:val="en-US" w:eastAsia="zh-CN"/>
        </w:rPr>
        <w:t>ha</w:t>
      </w:r>
      <w:r>
        <w:rPr>
          <w:rFonts w:hint="eastAsia"/>
          <w:color w:val="auto"/>
          <w:sz w:val="21"/>
          <w:szCs w:val="21"/>
          <w:lang w:val="en-US" w:eastAsia="zh-CN"/>
        </w:rPr>
        <w:t>ve</w:t>
      </w:r>
      <w:r>
        <w:rPr>
          <w:color w:val="auto"/>
          <w:sz w:val="21"/>
          <w:szCs w:val="21"/>
          <w:lang w:val="en-US" w:eastAsia="zh-CN"/>
        </w:rPr>
        <w:t xml:space="preserve"> enough flexibility to support beam switching</w:t>
      </w:r>
      <w:r>
        <w:rPr>
          <w:rFonts w:hint="eastAsia"/>
          <w:color w:val="auto"/>
          <w:sz w:val="21"/>
          <w:szCs w:val="21"/>
          <w:lang w:val="en-US" w:eastAsia="zh-CN"/>
        </w:rPr>
        <w:t xml:space="preserve"> for non-SSB channels/signals transmission. </w:t>
      </w:r>
      <w:r>
        <w:rPr>
          <w:rFonts w:hint="eastAsia" w:eastAsia="宋体" w:cs="Arial"/>
          <w:color w:val="auto"/>
          <w:sz w:val="21"/>
          <w:szCs w:val="21"/>
          <w:lang w:val="en-US" w:eastAsia="zh-CN"/>
        </w:rPr>
        <w:t xml:space="preserve">For non-SSB channels/signals transmission cases, </w:t>
      </w:r>
      <w:r>
        <w:rPr>
          <w:rFonts w:hint="eastAsia" w:eastAsia="宋体"/>
          <w:color w:val="auto"/>
          <w:sz w:val="21"/>
          <w:szCs w:val="21"/>
          <w:lang w:val="en-US" w:eastAsia="zh-CN"/>
        </w:rPr>
        <w:t>gNB can reserve a separate guard time (one or more full symbols) for beam switching by configuration implementation. But in the spirit of compromise, we agree to introduce a UE capability to report the beam switching time it can support.</w:t>
      </w:r>
    </w:p>
    <w:p>
      <w:pPr>
        <w:jc w:val="both"/>
        <w:rPr>
          <w:rFonts w:hint="eastAsia"/>
          <w:b/>
          <w:bCs/>
          <w:color w:val="auto"/>
          <w:sz w:val="21"/>
          <w:szCs w:val="21"/>
          <w:lang w:val="en-US" w:eastAsia="zh-CN"/>
        </w:rPr>
      </w:pPr>
      <w:r>
        <w:rPr>
          <w:rFonts w:hint="eastAsia"/>
          <w:b/>
          <w:bCs/>
          <w:color w:val="auto"/>
          <w:sz w:val="21"/>
          <w:szCs w:val="21"/>
          <w:lang w:val="en-US" w:eastAsia="zh-CN"/>
        </w:rPr>
        <w:t xml:space="preserve">Proposal 2: Introduce a UE capability </w:t>
      </w:r>
      <w:r>
        <w:rPr>
          <w:rFonts w:hint="eastAsia" w:eastAsia="宋体"/>
          <w:b/>
          <w:bCs/>
          <w:color w:val="auto"/>
          <w:sz w:val="21"/>
          <w:szCs w:val="21"/>
          <w:lang w:val="en-US" w:eastAsia="zh-CN"/>
        </w:rPr>
        <w:t>for the UE reporting the beam switching time it can support</w:t>
      </w:r>
      <w:r>
        <w:rPr>
          <w:rFonts w:hint="eastAsia"/>
          <w:b/>
          <w:bCs/>
          <w:color w:val="auto"/>
          <w:sz w:val="21"/>
          <w:szCs w:val="21"/>
          <w:lang w:val="en-US" w:eastAsia="zh-CN"/>
        </w:rPr>
        <w:t>.</w:t>
      </w:r>
    </w:p>
    <w:p>
      <w:pPr>
        <w:pStyle w:val="3"/>
        <w:numPr>
          <w:ilvl w:val="255"/>
          <w:numId w:val="0"/>
        </w:numPr>
        <w:snapToGrid w:val="0"/>
        <w:spacing w:after="240" w:line="260" w:lineRule="auto"/>
        <w:jc w:val="both"/>
        <w:rPr>
          <w:rFonts w:hint="eastAsia" w:ascii="Times New Roman" w:hAnsi="Times New Roman" w:cs="Times New Roman"/>
          <w:b/>
          <w:bCs w:val="0"/>
          <w:color w:val="auto"/>
          <w:sz w:val="24"/>
          <w:szCs w:val="24"/>
          <w:lang w:val="en-US" w:eastAsia="zh-CN"/>
        </w:rPr>
      </w:pPr>
      <w:r>
        <w:rPr>
          <w:rFonts w:hint="eastAsia" w:ascii="Times New Roman" w:hAnsi="Times New Roman" w:cs="Times New Roman"/>
          <w:b/>
          <w:bCs w:val="0"/>
          <w:color w:val="auto"/>
          <w:sz w:val="24"/>
          <w:szCs w:val="24"/>
          <w:lang w:val="en-US" w:eastAsia="zh-CN"/>
        </w:rPr>
        <w:t>2.3 Default value of a</w:t>
      </w:r>
      <w:r>
        <w:rPr>
          <w:rFonts w:hint="eastAsia" w:ascii="Times New Roman" w:hAnsi="Times New Roman" w:cs="Times New Roman"/>
          <w:b/>
          <w:bCs w:val="0"/>
          <w:color w:val="auto"/>
          <w:sz w:val="24"/>
          <w:szCs w:val="24"/>
          <w:lang w:val="en-US" w:eastAsia="zh-CN"/>
        </w:rPr>
        <w:t>dditional beam switching time delay</w:t>
      </w:r>
    </w:p>
    <w:p>
      <w:pPr>
        <w:widowControl w:val="0"/>
        <w:spacing w:before="180" w:line="260" w:lineRule="auto"/>
        <w:jc w:val="both"/>
        <w:rPr>
          <w:rFonts w:hint="default" w:eastAsia="宋体" w:cs="Times New Roman"/>
          <w:iCs/>
          <w:sz w:val="21"/>
          <w:szCs w:val="21"/>
          <w:lang w:val="en-US" w:eastAsia="zh-CN"/>
        </w:rPr>
      </w:pPr>
      <w:r>
        <w:rPr>
          <w:rFonts w:hint="default" w:eastAsia="宋体"/>
          <w:b w:val="0"/>
          <w:bCs w:val="0"/>
          <w:sz w:val="21"/>
          <w:szCs w:val="21"/>
          <w:highlight w:val="none"/>
          <w:lang w:val="en-US" w:eastAsia="zh-CN"/>
        </w:rPr>
        <w:t>In RAN1</w:t>
      </w:r>
      <w:r>
        <w:rPr>
          <w:rFonts w:hint="default" w:eastAsia="宋体"/>
          <w:b w:val="0"/>
          <w:bCs w:val="0"/>
          <w:sz w:val="21"/>
          <w:szCs w:val="21"/>
          <w:lang w:val="en-US" w:eastAsia="zh-CN"/>
        </w:rPr>
        <w:t xml:space="preserve">#107bis-e meeting, the following agreement related to additional beam switching time delay </w:t>
      </w:r>
      <w:r>
        <w:rPr>
          <w:rFonts w:hint="default" w:eastAsia="宋体"/>
          <w:b w:val="0"/>
          <w:bCs w:val="0"/>
          <w:i/>
          <w:iCs/>
          <w:sz w:val="21"/>
          <w:szCs w:val="21"/>
          <w:lang w:val="en-US" w:eastAsia="zh-CN"/>
        </w:rPr>
        <w:t>d</w:t>
      </w:r>
      <w:r>
        <w:rPr>
          <w:rFonts w:hint="default" w:eastAsia="宋体"/>
          <w:b w:val="0"/>
          <w:bCs w:val="0"/>
          <w:sz w:val="21"/>
          <w:szCs w:val="21"/>
          <w:lang w:val="en-US" w:eastAsia="zh-CN"/>
        </w:rPr>
        <w:t xml:space="preserve"> </w:t>
      </w:r>
      <w:r>
        <w:rPr>
          <w:rFonts w:hint="eastAsia" w:ascii="Times New Roman" w:hAnsi="Times New Roman" w:eastAsia="宋体" w:cs="Times New Roman"/>
          <w:b w:val="0"/>
          <w:bCs w:val="0"/>
          <w:sz w:val="21"/>
          <w:szCs w:val="21"/>
          <w:lang w:val="en-US" w:eastAsia="zh-CN"/>
        </w:rPr>
        <w:t xml:space="preserve">is reached </w:t>
      </w:r>
      <w:r>
        <w:rPr>
          <w:rFonts w:hint="default" w:eastAsia="宋体"/>
          <w:b w:val="0"/>
          <w:bCs w:val="0"/>
          <w:sz w:val="21"/>
          <w:szCs w:val="21"/>
          <w:lang w:val="en-US" w:eastAsia="zh-CN"/>
        </w:rPr>
        <w:t xml:space="preserve">in 8.15.2 UE features for above 52.6GHz. </w:t>
      </w:r>
      <w:r>
        <w:rPr>
          <w:rFonts w:hint="default" w:eastAsia="Batang"/>
          <w:sz w:val="21"/>
          <w:szCs w:val="21"/>
          <w:lang w:val="en-US" w:eastAsia="zh-CN"/>
        </w:rPr>
        <w:t>I</w:t>
      </w:r>
      <w:r>
        <w:rPr>
          <w:rFonts w:eastAsia="Batang"/>
          <w:sz w:val="21"/>
          <w:szCs w:val="21"/>
          <w:lang w:eastAsia="ko-KR"/>
        </w:rPr>
        <w:t xml:space="preserve">n case where the triggering PDCCH and the </w:t>
      </w:r>
      <w:r>
        <w:rPr>
          <w:rFonts w:hint="default" w:eastAsia="Batang"/>
          <w:sz w:val="21"/>
          <w:szCs w:val="21"/>
          <w:lang w:val="en-US" w:eastAsia="zh-CN"/>
        </w:rPr>
        <w:t>triggered AP-</w:t>
      </w:r>
      <w:r>
        <w:rPr>
          <w:rFonts w:eastAsia="Batang"/>
          <w:sz w:val="21"/>
          <w:szCs w:val="21"/>
          <w:lang w:eastAsia="ko-KR"/>
        </w:rPr>
        <w:t xml:space="preserve">CSI-RS have different </w:t>
      </w:r>
      <w:r>
        <w:rPr>
          <w:rFonts w:hint="default" w:eastAsia="Batang"/>
          <w:sz w:val="21"/>
          <w:szCs w:val="21"/>
          <w:lang w:val="en-US" w:eastAsia="zh-CN"/>
        </w:rPr>
        <w:t>SCSs</w:t>
      </w:r>
      <w:r>
        <w:rPr>
          <w:rFonts w:eastAsia="Batang"/>
          <w:sz w:val="21"/>
          <w:szCs w:val="21"/>
          <w:lang w:eastAsia="ko-KR"/>
        </w:rPr>
        <w:t>, additional</w:t>
      </w:r>
      <w:r>
        <w:rPr>
          <w:rFonts w:hint="default" w:eastAsia="Batang"/>
          <w:sz w:val="21"/>
          <w:szCs w:val="21"/>
          <w:lang w:val="en-US" w:eastAsia="zh-CN"/>
        </w:rPr>
        <w:t xml:space="preserve"> delay </w:t>
      </w:r>
      <w:r>
        <w:rPr>
          <w:i/>
          <w:sz w:val="21"/>
          <w:szCs w:val="21"/>
        </w:rPr>
        <w:t>d</w:t>
      </w:r>
      <w:r>
        <w:rPr>
          <w:rFonts w:eastAsia="Batang"/>
          <w:sz w:val="21"/>
          <w:szCs w:val="21"/>
          <w:lang w:eastAsia="ko-KR"/>
        </w:rPr>
        <w:t xml:space="preserve"> is applied when </w:t>
      </w:r>
      <w:r>
        <w:rPr>
          <w:sz w:val="21"/>
          <w:szCs w:val="21"/>
        </w:rPr>
        <w:t>µ</w:t>
      </w:r>
      <w:r>
        <w:rPr>
          <w:sz w:val="21"/>
          <w:szCs w:val="21"/>
          <w:vertAlign w:val="subscript"/>
        </w:rPr>
        <w:t>PDCCH</w:t>
      </w:r>
      <w:r>
        <w:rPr>
          <w:sz w:val="21"/>
          <w:szCs w:val="21"/>
        </w:rPr>
        <w:t xml:space="preserve"> &lt; µ</w:t>
      </w:r>
      <w:r>
        <w:rPr>
          <w:sz w:val="21"/>
          <w:szCs w:val="21"/>
          <w:vertAlign w:val="subscript"/>
        </w:rPr>
        <w:t>CSIRS</w:t>
      </w:r>
      <w:r>
        <w:rPr>
          <w:rFonts w:eastAsia="Batang"/>
          <w:sz w:val="21"/>
          <w:szCs w:val="21"/>
          <w:lang w:eastAsia="ko-KR"/>
        </w:rPr>
        <w:t>.</w:t>
      </w:r>
      <w:r>
        <w:rPr>
          <w:rFonts w:hint="default" w:eastAsia="Batang"/>
          <w:sz w:val="21"/>
          <w:szCs w:val="21"/>
          <w:lang w:val="en-US" w:eastAsia="zh-CN"/>
        </w:rPr>
        <w:t xml:space="preserve"> With additional delay </w:t>
      </w:r>
      <w:r>
        <w:rPr>
          <w:rFonts w:hint="default" w:eastAsia="Batang"/>
          <w:i/>
          <w:iCs/>
          <w:sz w:val="21"/>
          <w:szCs w:val="21"/>
          <w:lang w:val="en-US" w:eastAsia="zh-CN"/>
        </w:rPr>
        <w:t>d</w:t>
      </w:r>
      <w:r>
        <w:rPr>
          <w:rFonts w:hint="default" w:eastAsia="Batang"/>
          <w:sz w:val="21"/>
          <w:szCs w:val="21"/>
          <w:lang w:val="en-US" w:eastAsia="zh-CN"/>
        </w:rPr>
        <w:t xml:space="preserve">, the total beam switch threshold for AP-CSI-RS equals to </w:t>
      </w:r>
      <w:r>
        <w:rPr>
          <w:i/>
          <w:iCs/>
          <w:sz w:val="21"/>
          <w:szCs w:val="21"/>
          <w:lang w:eastAsia="zh-CN"/>
        </w:rPr>
        <w:t>beamSwitchTiming</w:t>
      </w:r>
      <w:r>
        <w:rPr>
          <w:rStyle w:val="83"/>
          <w:sz w:val="21"/>
          <w:szCs w:val="21"/>
          <w:lang w:val="en-US" w:eastAsia="zh-CN"/>
        </w:rPr>
        <w:t xml:space="preserve"> </w:t>
      </w:r>
      <w:r>
        <w:rPr>
          <w:sz w:val="21"/>
          <w:szCs w:val="21"/>
          <w:lang w:eastAsia="zh-CN"/>
        </w:rPr>
        <w:t>+</w:t>
      </w:r>
      <w:r>
        <w:rPr>
          <w:sz w:val="21"/>
          <w:szCs w:val="21"/>
          <w:lang w:val="en-US" w:eastAsia="zh-CN"/>
        </w:rPr>
        <w:t xml:space="preserve"> </w:t>
      </w:r>
      <w:r>
        <w:rPr>
          <w:i/>
          <w:iCs/>
          <w:sz w:val="21"/>
          <w:szCs w:val="21"/>
          <w:lang w:eastAsia="zh-CN"/>
        </w:rPr>
        <w:t>d</w:t>
      </w:r>
      <w:r>
        <w:rPr>
          <w:i/>
          <w:iCs/>
          <w:sz w:val="21"/>
          <w:szCs w:val="21"/>
          <w:lang w:val="en-US" w:eastAsia="zh-CN"/>
        </w:rPr>
        <w:t xml:space="preserve"> </w:t>
      </w:r>
      <m:oMath>
        <m:r>
          <m:rPr>
            <m:sty m:val="p"/>
          </m:rPr>
          <w:rPr>
            <w:rFonts w:ascii="Cambria Math" w:hAnsi="Cambria Math"/>
            <w:sz w:val="21"/>
            <w:szCs w:val="21"/>
          </w:rPr>
          <m:t>∙</m:t>
        </m:r>
        <m:sSup>
          <m:sSupPr>
            <m:ctrlPr>
              <w:rPr>
                <w:rFonts w:ascii="Cambria Math" w:hAnsi="Cambria Math"/>
                <w:iCs/>
                <w:sz w:val="21"/>
                <w:szCs w:val="21"/>
              </w:rPr>
            </m:ctrlPr>
          </m:sSupPr>
          <m:e>
            <m:r>
              <m:rPr/>
              <w:rPr>
                <w:rFonts w:ascii="Cambria Math" w:hAnsi="Cambria Math"/>
                <w:sz w:val="21"/>
                <w:szCs w:val="21"/>
              </w:rPr>
              <m:t>2</m:t>
            </m:r>
            <m:ctrlPr>
              <w:rPr>
                <w:rFonts w:ascii="Cambria Math" w:hAnsi="Cambria Math"/>
                <w:iCs/>
                <w:sz w:val="21"/>
                <w:szCs w:val="21"/>
              </w:rPr>
            </m:ctrlPr>
          </m:e>
          <m:sup>
            <m:sSub>
              <m:sSubPr>
                <m:ctrlPr>
                  <w:rPr>
                    <w:rFonts w:ascii="Cambria Math" w:hAnsi="Cambria Math"/>
                    <w:i/>
                    <w:iCs/>
                    <w:sz w:val="21"/>
                    <w:szCs w:val="21"/>
                  </w:rPr>
                </m:ctrlPr>
              </m:sSubPr>
              <m:e>
                <m:r>
                  <m:rPr/>
                  <w:rPr>
                    <w:rFonts w:ascii="Cambria Math" w:hAnsi="Cambria Math"/>
                    <w:sz w:val="21"/>
                    <w:szCs w:val="21"/>
                  </w:rPr>
                  <m:t>μ</m:t>
                </m:r>
                <m:ctrlPr>
                  <w:rPr>
                    <w:rFonts w:ascii="Cambria Math" w:hAnsi="Cambria Math"/>
                    <w:i/>
                    <w:iCs/>
                    <w:sz w:val="21"/>
                    <w:szCs w:val="21"/>
                  </w:rPr>
                </m:ctrlPr>
              </m:e>
              <m:sub>
                <m:r>
                  <m:rPr/>
                  <w:rPr>
                    <w:rFonts w:ascii="Cambria Math" w:hAnsi="Cambria Math"/>
                    <w:sz w:val="21"/>
                    <w:szCs w:val="21"/>
                  </w:rPr>
                  <m:t>CSIRS</m:t>
                </m:r>
                <m:ctrlPr>
                  <w:rPr>
                    <w:rFonts w:ascii="Cambria Math" w:hAnsi="Cambria Math"/>
                    <w:i/>
                    <w:iCs/>
                    <w:sz w:val="21"/>
                    <w:szCs w:val="21"/>
                  </w:rPr>
                </m:ctrlPr>
              </m:sub>
            </m:sSub>
            <m:ctrlPr>
              <w:rPr>
                <w:rFonts w:ascii="Cambria Math" w:hAnsi="Cambria Math"/>
                <w:iCs/>
                <w:sz w:val="21"/>
                <w:szCs w:val="21"/>
              </w:rPr>
            </m:ctrlPr>
          </m:sup>
        </m:sSup>
        <m:r>
          <m:rPr/>
          <w:rPr>
            <w:rFonts w:ascii="Cambria Math" w:hAnsi="Cambria Math"/>
            <w:sz w:val="21"/>
            <w:szCs w:val="21"/>
          </w:rPr>
          <m:t>/</m:t>
        </m:r>
        <m:sSup>
          <m:sSupPr>
            <m:ctrlPr>
              <w:rPr>
                <w:rFonts w:ascii="Cambria Math" w:hAnsi="Cambria Math"/>
                <w:i/>
                <w:iCs/>
                <w:sz w:val="21"/>
                <w:szCs w:val="21"/>
              </w:rPr>
            </m:ctrlPr>
          </m:sSupPr>
          <m:e>
            <m:r>
              <m:rPr/>
              <w:rPr>
                <w:rFonts w:ascii="Cambria Math" w:hAnsi="Cambria Math"/>
                <w:sz w:val="21"/>
                <w:szCs w:val="21"/>
              </w:rPr>
              <m:t>2</m:t>
            </m:r>
            <m:ctrlPr>
              <w:rPr>
                <w:rFonts w:ascii="Cambria Math" w:hAnsi="Cambria Math"/>
                <w:i/>
                <w:iCs/>
                <w:sz w:val="21"/>
                <w:szCs w:val="21"/>
              </w:rPr>
            </m:ctrlPr>
          </m:e>
          <m:sup>
            <m:sSub>
              <m:sSubPr>
                <m:ctrlPr>
                  <w:rPr>
                    <w:rFonts w:ascii="Cambria Math" w:hAnsi="Cambria Math"/>
                    <w:i/>
                    <w:iCs/>
                    <w:sz w:val="21"/>
                    <w:szCs w:val="21"/>
                  </w:rPr>
                </m:ctrlPr>
              </m:sSubPr>
              <m:e>
                <m:r>
                  <m:rPr/>
                  <w:rPr>
                    <w:rFonts w:ascii="Cambria Math" w:hAnsi="Cambria Math"/>
                    <w:sz w:val="21"/>
                    <w:szCs w:val="21"/>
                  </w:rPr>
                  <m:t>μ</m:t>
                </m:r>
                <m:ctrlPr>
                  <w:rPr>
                    <w:rFonts w:ascii="Cambria Math" w:hAnsi="Cambria Math"/>
                    <w:i/>
                    <w:iCs/>
                    <w:sz w:val="21"/>
                    <w:szCs w:val="21"/>
                  </w:rPr>
                </m:ctrlPr>
              </m:e>
              <m:sub>
                <m:r>
                  <m:rPr/>
                  <w:rPr>
                    <w:rFonts w:ascii="Cambria Math" w:hAnsi="Cambria Math"/>
                    <w:sz w:val="21"/>
                    <w:szCs w:val="21"/>
                  </w:rPr>
                  <m:t>PDCCH</m:t>
                </m:r>
                <m:ctrlPr>
                  <w:rPr>
                    <w:rFonts w:ascii="Cambria Math" w:hAnsi="Cambria Math"/>
                    <w:i/>
                    <w:iCs/>
                    <w:sz w:val="21"/>
                    <w:szCs w:val="21"/>
                  </w:rPr>
                </m:ctrlPr>
              </m:sub>
            </m:sSub>
            <m:ctrlPr>
              <w:rPr>
                <w:rFonts w:ascii="Cambria Math" w:hAnsi="Cambria Math"/>
                <w:i/>
                <w:iCs/>
                <w:sz w:val="21"/>
                <w:szCs w:val="21"/>
              </w:rPr>
            </m:ctrlPr>
          </m:sup>
        </m:sSup>
      </m:oMath>
      <w:r>
        <w:rPr>
          <w:rFonts w:hint="default" w:hAnsi="Times New Roman" w:eastAsia="宋体"/>
          <w:i/>
          <w:iCs/>
          <w:sz w:val="21"/>
          <w:szCs w:val="21"/>
          <w:lang w:val="en-US" w:eastAsia="zh-CN"/>
        </w:rPr>
        <w:t>.</w:t>
      </w:r>
      <w:r>
        <w:rPr>
          <w:rFonts w:eastAsia="Batang"/>
          <w:sz w:val="21"/>
          <w:szCs w:val="21"/>
          <w:lang w:eastAsia="ko-KR"/>
        </w:rPr>
        <w:t xml:space="preserve"> </w:t>
      </w:r>
      <w:r>
        <w:rPr>
          <w:rFonts w:hint="default" w:eastAsia="Batang"/>
          <w:sz w:val="21"/>
          <w:szCs w:val="21"/>
          <w:lang w:val="en-US" w:eastAsia="zh-CN"/>
        </w:rPr>
        <w:t xml:space="preserve">In fact, for </w:t>
      </w:r>
      <w:r>
        <w:rPr>
          <w:rFonts w:eastAsia="Batang"/>
          <w:sz w:val="21"/>
          <w:szCs w:val="21"/>
          <w:lang w:eastAsia="ko-KR"/>
        </w:rPr>
        <w:t>additional</w:t>
      </w:r>
      <w:r>
        <w:rPr>
          <w:rFonts w:hint="default" w:eastAsia="Batang"/>
          <w:sz w:val="21"/>
          <w:szCs w:val="21"/>
          <w:lang w:val="en-US" w:eastAsia="zh-CN"/>
        </w:rPr>
        <w:t xml:space="preserve"> delay </w:t>
      </w:r>
      <w:r>
        <w:rPr>
          <w:i/>
          <w:sz w:val="21"/>
          <w:szCs w:val="21"/>
        </w:rPr>
        <w:t>d</w:t>
      </w:r>
      <w:r>
        <w:rPr>
          <w:rFonts w:hint="default" w:eastAsia="宋体"/>
          <w:i/>
          <w:sz w:val="21"/>
          <w:szCs w:val="21"/>
          <w:lang w:val="en-US" w:eastAsia="zh-CN"/>
        </w:rPr>
        <w:t xml:space="preserve"> </w:t>
      </w:r>
      <w:r>
        <w:rPr>
          <w:rFonts w:hint="default" w:eastAsia="宋体"/>
          <w:i w:val="0"/>
          <w:iCs/>
          <w:sz w:val="21"/>
          <w:szCs w:val="21"/>
          <w:lang w:val="en-US" w:eastAsia="zh-CN"/>
        </w:rPr>
        <w:t>of</w:t>
      </w:r>
      <w:r>
        <w:rPr>
          <w:rFonts w:hint="default" w:eastAsia="Batang"/>
          <w:iCs/>
          <w:sz w:val="21"/>
          <w:szCs w:val="21"/>
          <w:lang w:val="en-US" w:eastAsia="zh-CN"/>
        </w:rPr>
        <w:t xml:space="preserve"> </w:t>
      </w:r>
      <w:r>
        <w:rPr>
          <w:rFonts w:hint="default" w:eastAsia="Batang"/>
          <w:sz w:val="21"/>
          <w:szCs w:val="21"/>
          <w:lang w:val="en-US" w:eastAsia="zh-CN"/>
        </w:rPr>
        <w:t xml:space="preserve">15/30/60kHz and 120kHz, we have not introduced any UE capabilities. For </w:t>
      </w:r>
      <w:r>
        <w:rPr>
          <w:rFonts w:eastAsia="Batang"/>
          <w:sz w:val="21"/>
          <w:szCs w:val="21"/>
          <w:lang w:eastAsia="ko-KR"/>
        </w:rPr>
        <w:t>additional</w:t>
      </w:r>
      <w:r>
        <w:rPr>
          <w:rFonts w:hint="default" w:eastAsia="Batang"/>
          <w:sz w:val="21"/>
          <w:szCs w:val="21"/>
          <w:lang w:val="en-US" w:eastAsia="zh-CN"/>
        </w:rPr>
        <w:t xml:space="preserve"> delay </w:t>
      </w:r>
      <w:r>
        <w:rPr>
          <w:i/>
          <w:sz w:val="21"/>
          <w:szCs w:val="21"/>
        </w:rPr>
        <w:t>d</w:t>
      </w:r>
      <w:r>
        <w:rPr>
          <w:rFonts w:hint="default" w:eastAsia="宋体"/>
          <w:i/>
          <w:sz w:val="21"/>
          <w:szCs w:val="21"/>
          <w:lang w:val="en-US" w:eastAsia="zh-CN"/>
        </w:rPr>
        <w:t xml:space="preserve"> </w:t>
      </w:r>
      <w:r>
        <w:rPr>
          <w:rFonts w:hint="default" w:eastAsia="宋体"/>
          <w:i w:val="0"/>
          <w:iCs/>
          <w:sz w:val="21"/>
          <w:szCs w:val="21"/>
          <w:lang w:val="en-US" w:eastAsia="zh-CN"/>
        </w:rPr>
        <w:t>of</w:t>
      </w:r>
      <w:r>
        <w:rPr>
          <w:rFonts w:hint="default" w:eastAsia="Batang"/>
          <w:iCs/>
          <w:sz w:val="21"/>
          <w:szCs w:val="21"/>
          <w:lang w:val="en-US" w:eastAsia="zh-CN"/>
        </w:rPr>
        <w:t xml:space="preserve"> </w:t>
      </w:r>
      <w:r>
        <w:rPr>
          <w:rFonts w:hint="default" w:eastAsia="Batang"/>
          <w:sz w:val="21"/>
          <w:szCs w:val="21"/>
          <w:lang w:val="en-US" w:eastAsia="zh-CN"/>
        </w:rPr>
        <w:t>480kHz, we</w:t>
      </w:r>
      <w:r>
        <w:rPr>
          <w:rFonts w:cs="Times New Roman"/>
          <w:iCs/>
          <w:sz w:val="21"/>
          <w:szCs w:val="21"/>
        </w:rPr>
        <w:t xml:space="preserve"> introduce </w:t>
      </w:r>
      <w:r>
        <w:rPr>
          <w:rFonts w:hint="default" w:eastAsia="宋体" w:cs="Times New Roman"/>
          <w:iCs/>
          <w:sz w:val="21"/>
          <w:szCs w:val="21"/>
          <w:lang w:val="en-US" w:eastAsia="zh-CN"/>
        </w:rPr>
        <w:t xml:space="preserve">an </w:t>
      </w:r>
      <w:r>
        <w:rPr>
          <w:rFonts w:cs="Times New Roman"/>
          <w:iCs/>
          <w:sz w:val="21"/>
          <w:szCs w:val="21"/>
        </w:rPr>
        <w:t>UE capability signaling which indicates 56 symbols or 112 symbols.</w:t>
      </w:r>
      <w:r>
        <w:rPr>
          <w:rFonts w:hint="default" w:eastAsia="宋体" w:cs="Times New Roman"/>
          <w:iCs/>
          <w:sz w:val="21"/>
          <w:szCs w:val="21"/>
          <w:lang w:val="en-US" w:eastAsia="zh-CN"/>
        </w:rPr>
        <w:t xml:space="preserve"> </w:t>
      </w:r>
    </w:p>
    <w:p>
      <w:pPr>
        <w:widowControl w:val="0"/>
        <w:spacing w:before="180" w:line="260" w:lineRule="auto"/>
        <w:ind w:firstLine="189" w:firstLineChars="90"/>
        <w:jc w:val="both"/>
        <w:rPr>
          <w:rFonts w:ascii="Times New Roman" w:hAnsi="Times New Roman" w:cs="Times New Roman"/>
          <w:b/>
          <w:sz w:val="21"/>
          <w:szCs w:val="21"/>
        </w:rPr>
      </w:pPr>
      <w:r>
        <w:rPr>
          <w:rFonts w:ascii="Times New Roman" w:hAnsi="Times New Roman" w:cs="Times New Roman"/>
          <w:b/>
          <w:sz w:val="21"/>
          <w:szCs w:val="21"/>
          <w:highlight w:val="green"/>
        </w:rPr>
        <w:t>Agreement:</w:t>
      </w:r>
      <w:r>
        <w:rPr>
          <w:rFonts w:ascii="Times New Roman" w:hAnsi="Times New Roman" w:cs="Times New Roman"/>
          <w:b/>
          <w:color w:val="000000"/>
          <w:sz w:val="21"/>
          <w:szCs w:val="21"/>
        </w:rPr>
        <w:t xml:space="preserve"> </w:t>
      </w:r>
      <w:r>
        <w:rPr>
          <w:rFonts w:ascii="Times New Roman" w:hAnsi="Times New Roman" w:cs="Times New Roman"/>
          <w:b/>
          <w:sz w:val="21"/>
          <w:szCs w:val="21"/>
        </w:rPr>
        <w:t xml:space="preserve"> Adopt the following changes highlighted in chromatic fonts, while keeping the yellow highlighting, if any, as shown</w:t>
      </w:r>
      <w:r>
        <w:rPr>
          <w:rFonts w:ascii="Times New Roman" w:hAnsi="Times New Roman" w:cs="Times New Roman"/>
          <w:sz w:val="21"/>
          <w:szCs w:val="21"/>
        </w:rPr>
        <w:tab/>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8"/>
        <w:gridCol w:w="434"/>
        <w:gridCol w:w="877"/>
        <w:gridCol w:w="910"/>
        <w:gridCol w:w="221"/>
        <w:gridCol w:w="476"/>
        <w:gridCol w:w="467"/>
        <w:gridCol w:w="927"/>
        <w:gridCol w:w="684"/>
        <w:gridCol w:w="467"/>
        <w:gridCol w:w="467"/>
        <w:gridCol w:w="467"/>
        <w:gridCol w:w="902"/>
        <w:gridCol w:w="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tcPr>
          <w:p>
            <w:pPr>
              <w:pStyle w:val="49"/>
              <w:rPr>
                <w:rFonts w:cs="Arial"/>
                <w:color w:val="000000"/>
                <w:szCs w:val="18"/>
              </w:rPr>
            </w:pPr>
            <w:r>
              <w:rPr>
                <w:rFonts w:cs="Arial"/>
                <w:color w:val="000000"/>
                <w:szCs w:val="18"/>
              </w:rPr>
              <w:t>24. NR_ext_to_71GHz</w:t>
            </w:r>
          </w:p>
        </w:tc>
        <w:tc>
          <w:tcPr>
            <w:tcW w:w="0" w:type="auto"/>
            <w:shd w:val="clear" w:color="auto" w:fill="auto"/>
          </w:tcPr>
          <w:p>
            <w:pPr>
              <w:pStyle w:val="49"/>
              <w:rPr>
                <w:rFonts w:cs="Arial"/>
                <w:color w:val="000000"/>
                <w:szCs w:val="18"/>
              </w:rPr>
            </w:pPr>
            <w:r>
              <w:rPr>
                <w:rFonts w:cs="Arial"/>
                <w:color w:val="000000"/>
                <w:szCs w:val="18"/>
              </w:rPr>
              <w:t>24-10</w:t>
            </w:r>
          </w:p>
        </w:tc>
        <w:tc>
          <w:tcPr>
            <w:tcW w:w="0" w:type="auto"/>
            <w:shd w:val="clear" w:color="auto" w:fill="auto"/>
          </w:tcPr>
          <w:p>
            <w:pPr>
              <w:pStyle w:val="49"/>
              <w:rPr>
                <w:rFonts w:cs="Arial"/>
                <w:color w:val="000000"/>
                <w:szCs w:val="18"/>
              </w:rPr>
            </w:pPr>
            <w:r>
              <w:rPr>
                <w:rFonts w:cs="Arial"/>
                <w:color w:val="000000"/>
                <w:szCs w:val="18"/>
              </w:rPr>
              <w:t>Additional beam switching time delay</w:t>
            </w:r>
          </w:p>
        </w:tc>
        <w:tc>
          <w:tcPr>
            <w:tcW w:w="0" w:type="auto"/>
            <w:shd w:val="clear" w:color="auto" w:fill="auto"/>
          </w:tcPr>
          <w:p>
            <w:pPr>
              <w:pStyle w:val="49"/>
              <w:rPr>
                <w:rFonts w:cs="Arial"/>
                <w:color w:val="000000"/>
                <w:szCs w:val="18"/>
              </w:rPr>
            </w:pPr>
            <w:r>
              <w:rPr>
                <w:rFonts w:cs="Arial"/>
                <w:color w:val="000000"/>
                <w:szCs w:val="18"/>
              </w:rPr>
              <w:t>Supported additional beam switching time delay d for 480 kHz SCS</w:t>
            </w:r>
          </w:p>
        </w:tc>
        <w:tc>
          <w:tcPr>
            <w:tcW w:w="0" w:type="auto"/>
            <w:shd w:val="clear" w:color="auto" w:fill="auto"/>
          </w:tcPr>
          <w:p>
            <w:pPr>
              <w:pStyle w:val="49"/>
              <w:rPr>
                <w:rFonts w:cs="Arial"/>
                <w:color w:val="000000"/>
                <w:szCs w:val="18"/>
              </w:rPr>
            </w:pPr>
          </w:p>
        </w:tc>
        <w:tc>
          <w:tcPr>
            <w:tcW w:w="0" w:type="auto"/>
            <w:shd w:val="clear" w:color="auto" w:fill="auto"/>
          </w:tcPr>
          <w:p>
            <w:pPr>
              <w:pStyle w:val="49"/>
              <w:rPr>
                <w:rFonts w:cs="Arial"/>
                <w:color w:val="000000"/>
                <w:szCs w:val="18"/>
              </w:rPr>
            </w:pPr>
            <w:r>
              <w:rPr>
                <w:rFonts w:cs="Arial"/>
                <w:color w:val="FF0000"/>
                <w:szCs w:val="18"/>
              </w:rPr>
              <w:t>Yes</w:t>
            </w:r>
          </w:p>
        </w:tc>
        <w:tc>
          <w:tcPr>
            <w:tcW w:w="0" w:type="auto"/>
            <w:shd w:val="clear" w:color="auto" w:fill="auto"/>
          </w:tcPr>
          <w:p>
            <w:pPr>
              <w:pStyle w:val="49"/>
              <w:rPr>
                <w:rFonts w:cs="Arial"/>
                <w:color w:val="000000"/>
                <w:szCs w:val="18"/>
              </w:rPr>
            </w:pPr>
            <w:r>
              <w:rPr>
                <w:rFonts w:eastAsia="宋体" w:cs="Arial"/>
                <w:color w:val="FF0000"/>
                <w:szCs w:val="18"/>
                <w:lang w:eastAsia="zh-CN"/>
              </w:rPr>
              <w:t>N/A</w:t>
            </w:r>
          </w:p>
        </w:tc>
        <w:tc>
          <w:tcPr>
            <w:tcW w:w="0" w:type="auto"/>
            <w:shd w:val="clear" w:color="auto" w:fill="auto"/>
          </w:tcPr>
          <w:p>
            <w:pPr>
              <w:pStyle w:val="49"/>
              <w:rPr>
                <w:rFonts w:cs="Arial"/>
                <w:color w:val="7030A0"/>
                <w:szCs w:val="18"/>
              </w:rPr>
            </w:pPr>
            <w:r>
              <w:rPr>
                <w:rFonts w:cs="Arial"/>
                <w:color w:val="7030A0"/>
                <w:szCs w:val="18"/>
                <w:highlight w:val="yellow"/>
              </w:rPr>
              <w:t>[</w:t>
            </w:r>
            <w:r>
              <w:rPr>
                <w:rFonts w:cs="Arial"/>
                <w:color w:val="FF0000"/>
                <w:szCs w:val="18"/>
                <w:highlight w:val="yellow"/>
              </w:rPr>
              <w:t xml:space="preserve">Additional beam switching time delay </w:t>
            </w:r>
            <w:r>
              <w:rPr>
                <w:rFonts w:eastAsia="宋体" w:cs="Arial"/>
                <w:color w:val="FF0000"/>
                <w:szCs w:val="18"/>
                <w:highlight w:val="yellow"/>
                <w:lang w:eastAsia="zh-CN"/>
              </w:rPr>
              <w:t>is not supported</w:t>
            </w:r>
            <w:r>
              <w:rPr>
                <w:rFonts w:eastAsia="宋体" w:cs="Arial"/>
                <w:color w:val="7030A0"/>
                <w:szCs w:val="18"/>
                <w:highlight w:val="yellow"/>
                <w:lang w:eastAsia="zh-CN"/>
              </w:rPr>
              <w:t>]</w:t>
            </w:r>
          </w:p>
        </w:tc>
        <w:tc>
          <w:tcPr>
            <w:tcW w:w="0" w:type="auto"/>
            <w:shd w:val="clear" w:color="auto" w:fill="auto"/>
          </w:tcPr>
          <w:p>
            <w:pPr>
              <w:pStyle w:val="49"/>
              <w:rPr>
                <w:rFonts w:cs="Arial"/>
                <w:color w:val="7030A0"/>
                <w:szCs w:val="18"/>
              </w:rPr>
            </w:pPr>
            <w:r>
              <w:rPr>
                <w:rFonts w:cs="Arial"/>
                <w:color w:val="7030A0"/>
                <w:szCs w:val="18"/>
                <w:highlight w:val="yellow"/>
              </w:rPr>
              <w:t>[</w:t>
            </w:r>
            <w:r>
              <w:rPr>
                <w:rFonts w:cs="Arial"/>
                <w:color w:val="FF0000"/>
                <w:szCs w:val="18"/>
                <w:highlight w:val="yellow"/>
              </w:rPr>
              <w:t>Per UE</w:t>
            </w:r>
            <w:r>
              <w:rPr>
                <w:rFonts w:cs="Arial"/>
                <w:color w:val="7030A0"/>
                <w:szCs w:val="18"/>
                <w:highlight w:val="yellow"/>
              </w:rPr>
              <w:t>/per band]</w:t>
            </w:r>
          </w:p>
        </w:tc>
        <w:tc>
          <w:tcPr>
            <w:tcW w:w="0" w:type="auto"/>
            <w:shd w:val="clear" w:color="auto" w:fill="auto"/>
          </w:tcPr>
          <w:p>
            <w:pPr>
              <w:pStyle w:val="49"/>
              <w:rPr>
                <w:rFonts w:cs="Arial"/>
                <w:color w:val="000000"/>
                <w:szCs w:val="18"/>
              </w:rPr>
            </w:pPr>
            <w:r>
              <w:rPr>
                <w:rFonts w:eastAsia="宋体" w:cs="Arial"/>
                <w:color w:val="FF0000"/>
                <w:szCs w:val="18"/>
                <w:lang w:eastAsia="zh-CN"/>
              </w:rPr>
              <w:t>N/A</w:t>
            </w:r>
          </w:p>
        </w:tc>
        <w:tc>
          <w:tcPr>
            <w:tcW w:w="0" w:type="auto"/>
            <w:shd w:val="clear" w:color="auto" w:fill="auto"/>
          </w:tcPr>
          <w:p>
            <w:pPr>
              <w:pStyle w:val="49"/>
              <w:rPr>
                <w:rFonts w:cs="Arial"/>
                <w:color w:val="000000"/>
                <w:szCs w:val="18"/>
              </w:rPr>
            </w:pPr>
            <w:r>
              <w:rPr>
                <w:rFonts w:eastAsia="宋体" w:cs="Arial"/>
                <w:color w:val="FF0000"/>
                <w:szCs w:val="18"/>
                <w:lang w:eastAsia="zh-CN"/>
              </w:rPr>
              <w:t>N/A</w:t>
            </w:r>
          </w:p>
        </w:tc>
        <w:tc>
          <w:tcPr>
            <w:tcW w:w="0" w:type="auto"/>
            <w:shd w:val="clear" w:color="auto" w:fill="auto"/>
          </w:tcPr>
          <w:p>
            <w:pPr>
              <w:pStyle w:val="49"/>
              <w:rPr>
                <w:rFonts w:cs="Arial"/>
                <w:color w:val="000000"/>
                <w:szCs w:val="18"/>
              </w:rPr>
            </w:pPr>
            <w:r>
              <w:rPr>
                <w:rFonts w:eastAsia="宋体" w:cs="Arial"/>
                <w:color w:val="FF0000"/>
                <w:szCs w:val="18"/>
                <w:lang w:eastAsia="zh-CN"/>
              </w:rPr>
              <w:t>N/A</w:t>
            </w:r>
          </w:p>
        </w:tc>
        <w:tc>
          <w:tcPr>
            <w:tcW w:w="0" w:type="auto"/>
            <w:shd w:val="clear" w:color="auto" w:fill="auto"/>
          </w:tcPr>
          <w:p>
            <w:pPr>
              <w:pStyle w:val="49"/>
              <w:rPr>
                <w:rFonts w:cs="Arial"/>
                <w:color w:val="000000"/>
                <w:szCs w:val="18"/>
              </w:rPr>
            </w:pPr>
            <w:r>
              <w:rPr>
                <w:rFonts w:cs="Arial"/>
                <w:color w:val="000000"/>
                <w:szCs w:val="18"/>
              </w:rPr>
              <w:t>Candidate value set: 56 or 112 symbols</w:t>
            </w:r>
          </w:p>
        </w:tc>
        <w:tc>
          <w:tcPr>
            <w:tcW w:w="0" w:type="auto"/>
            <w:shd w:val="clear" w:color="auto" w:fill="auto"/>
          </w:tcPr>
          <w:p>
            <w:pPr>
              <w:pStyle w:val="49"/>
              <w:rPr>
                <w:rFonts w:cs="Arial"/>
                <w:color w:val="000000"/>
                <w:szCs w:val="18"/>
              </w:rPr>
            </w:pPr>
            <w:r>
              <w:rPr>
                <w:rFonts w:cs="Arial"/>
                <w:color w:val="000000"/>
                <w:szCs w:val="18"/>
              </w:rPr>
              <w:t>Optional with capability signalling</w:t>
            </w:r>
          </w:p>
        </w:tc>
      </w:tr>
    </w:tbl>
    <w:p>
      <w:pPr>
        <w:pStyle w:val="132"/>
        <w:ind w:firstLine="0" w:firstLineChars="0"/>
        <w:rPr>
          <w:rFonts w:ascii="Calibri" w:hAnsi="Calibri" w:cs="Arial"/>
          <w:highlight w:val="none"/>
        </w:rPr>
      </w:pPr>
      <w:r>
        <w:rPr>
          <w:rFonts w:ascii="Calibri" w:hAnsi="Calibri" w:cs="Arial"/>
        </w:rPr>
        <w:t>Note: continu</w:t>
      </w:r>
      <w:r>
        <w:rPr>
          <w:rFonts w:ascii="Calibri" w:hAnsi="Calibri" w:cs="Arial"/>
          <w:highlight w:val="none"/>
        </w:rPr>
        <w:t xml:space="preserve">e discussion on whether to define default values or whether UEs need to signal this FG is supported if one or more other FG is supported </w:t>
      </w:r>
    </w:p>
    <w:p>
      <w:pPr>
        <w:widowControl w:val="0"/>
        <w:spacing w:before="180" w:line="260" w:lineRule="auto"/>
        <w:ind w:firstLine="189" w:firstLineChars="90"/>
        <w:jc w:val="both"/>
        <w:rPr>
          <w:rFonts w:ascii="Calibri" w:hAnsi="Calibri" w:cs="Arial"/>
          <w:highlight w:val="none"/>
        </w:rPr>
      </w:pPr>
      <w:r>
        <w:rPr>
          <w:rFonts w:hint="default" w:ascii="Times New Roman" w:hAnsi="Times New Roman" w:eastAsia="宋体" w:cs="Times New Roman"/>
          <w:iCs/>
          <w:sz w:val="21"/>
          <w:szCs w:val="21"/>
          <w:lang w:val="en-US" w:eastAsia="zh-CN"/>
        </w:rPr>
        <w:t xml:space="preserve">One remaining issue is that whether to define </w:t>
      </w:r>
      <w:r>
        <w:rPr>
          <w:rFonts w:hint="eastAsia" w:ascii="Times New Roman" w:hAnsi="Times New Roman" w:eastAsia="宋体" w:cs="Times New Roman"/>
          <w:iCs/>
          <w:sz w:val="21"/>
          <w:szCs w:val="21"/>
          <w:lang w:val="en-US" w:eastAsia="zh-CN"/>
        </w:rPr>
        <w:t xml:space="preserve">a </w:t>
      </w:r>
      <w:r>
        <w:rPr>
          <w:rFonts w:hint="default" w:ascii="Times New Roman" w:hAnsi="Times New Roman" w:eastAsia="宋体" w:cs="Times New Roman"/>
          <w:iCs/>
          <w:sz w:val="21"/>
          <w:szCs w:val="21"/>
          <w:lang w:val="en-US" w:eastAsia="zh-CN"/>
        </w:rPr>
        <w:t xml:space="preserve">default value or whether </w:t>
      </w:r>
      <w:r>
        <w:rPr>
          <w:rFonts w:hint="eastAsia" w:ascii="Times New Roman" w:hAnsi="Times New Roman" w:eastAsia="宋体" w:cs="Times New Roman"/>
          <w:iCs/>
          <w:sz w:val="21"/>
          <w:szCs w:val="21"/>
          <w:lang w:val="en-US" w:eastAsia="zh-CN"/>
        </w:rPr>
        <w:t xml:space="preserve">an </w:t>
      </w:r>
      <w:r>
        <w:rPr>
          <w:rFonts w:hint="default" w:ascii="Times New Roman" w:hAnsi="Times New Roman" w:eastAsia="宋体" w:cs="Times New Roman"/>
          <w:iCs/>
          <w:sz w:val="21"/>
          <w:szCs w:val="21"/>
          <w:lang w:val="en-US" w:eastAsia="zh-CN"/>
        </w:rPr>
        <w:t xml:space="preserve">UE needs to signal </w:t>
      </w:r>
      <w:r>
        <w:rPr>
          <w:rFonts w:hint="eastAsia" w:ascii="Times New Roman" w:hAnsi="Times New Roman" w:eastAsia="宋体" w:cs="Times New Roman"/>
          <w:iCs/>
          <w:sz w:val="21"/>
          <w:szCs w:val="21"/>
          <w:lang w:val="en-US" w:eastAsia="zh-CN"/>
        </w:rPr>
        <w:t xml:space="preserve">the </w:t>
      </w:r>
      <w:r>
        <w:rPr>
          <w:rFonts w:hint="default" w:ascii="Times New Roman" w:hAnsi="Times New Roman" w:eastAsia="宋体" w:cs="Times New Roman"/>
          <w:iCs/>
          <w:sz w:val="21"/>
          <w:szCs w:val="21"/>
          <w:lang w:val="en-US" w:eastAsia="zh-CN"/>
        </w:rPr>
        <w:t>FG</w:t>
      </w:r>
      <w:r>
        <w:rPr>
          <w:rFonts w:hint="eastAsia" w:ascii="Times New Roman" w:hAnsi="Times New Roman" w:eastAsia="宋体" w:cs="Times New Roman"/>
          <w:iCs/>
          <w:sz w:val="21"/>
          <w:szCs w:val="21"/>
          <w:lang w:val="en-US" w:eastAsia="zh-CN"/>
        </w:rPr>
        <w:t xml:space="preserve"> of additional </w:t>
      </w:r>
      <w:r>
        <w:rPr>
          <w:rFonts w:hint="eastAsia" w:ascii="Times New Roman" w:hAnsi="Times New Roman" w:eastAsia="宋体" w:cs="Times New Roman"/>
          <w:i/>
          <w:iCs w:val="0"/>
          <w:sz w:val="21"/>
          <w:szCs w:val="21"/>
          <w:lang w:val="en-US" w:eastAsia="zh-CN"/>
        </w:rPr>
        <w:t>d</w:t>
      </w:r>
      <w:r>
        <w:rPr>
          <w:rFonts w:hint="default" w:ascii="Times New Roman" w:hAnsi="Times New Roman" w:eastAsia="宋体" w:cs="Times New Roman"/>
          <w:iCs/>
          <w:sz w:val="21"/>
          <w:szCs w:val="21"/>
          <w:lang w:val="en-US" w:eastAsia="zh-CN"/>
        </w:rPr>
        <w:t xml:space="preserve"> is supported if one or more other FG is supported. </w:t>
      </w:r>
      <w:r>
        <w:rPr>
          <w:rFonts w:hint="eastAsia" w:ascii="Times New Roman" w:hAnsi="Times New Roman" w:eastAsia="宋体" w:cs="Times New Roman"/>
          <w:iCs/>
          <w:sz w:val="21"/>
          <w:szCs w:val="21"/>
          <w:lang w:val="en-US" w:eastAsia="zh-CN"/>
        </w:rPr>
        <w:t xml:space="preserve">If the </w:t>
      </w:r>
      <w:r>
        <w:rPr>
          <w:rFonts w:hint="default" w:ascii="Times New Roman" w:hAnsi="Times New Roman" w:eastAsia="宋体" w:cs="Times New Roman"/>
          <w:iCs/>
          <w:sz w:val="21"/>
          <w:szCs w:val="21"/>
          <w:lang w:val="en-US" w:eastAsia="zh-CN"/>
        </w:rPr>
        <w:t xml:space="preserve">UE only supports 112 symbols, we don't think it is necessary to force the UE to report its capability. We propose </w:t>
      </w:r>
      <w:r>
        <w:rPr>
          <w:rFonts w:ascii="Times New Roman" w:hAnsi="Times New Roman" w:eastAsia="Batang" w:cs="Times New Roman"/>
          <w:sz w:val="21"/>
          <w:szCs w:val="21"/>
          <w:lang w:eastAsia="ko-KR"/>
        </w:rPr>
        <w:t>additional</w:t>
      </w:r>
      <w:r>
        <w:rPr>
          <w:rFonts w:hint="default" w:ascii="Times New Roman" w:hAnsi="Times New Roman" w:eastAsia="Batang" w:cs="Times New Roman"/>
          <w:sz w:val="21"/>
          <w:szCs w:val="21"/>
          <w:lang w:val="en-US" w:eastAsia="zh-CN"/>
        </w:rPr>
        <w:t xml:space="preserve"> delay </w:t>
      </w:r>
      <w:r>
        <w:rPr>
          <w:rFonts w:ascii="Times New Roman" w:hAnsi="Times New Roman" w:cs="Times New Roman"/>
          <w:i/>
          <w:sz w:val="21"/>
          <w:szCs w:val="21"/>
        </w:rPr>
        <w:t>d</w:t>
      </w:r>
      <w:r>
        <w:rPr>
          <w:rFonts w:hint="default" w:ascii="Times New Roman" w:hAnsi="Times New Roman" w:eastAsia="宋体" w:cs="Times New Roman"/>
          <w:i w:val="0"/>
          <w:iCs/>
          <w:sz w:val="21"/>
          <w:szCs w:val="21"/>
          <w:lang w:val="en-US" w:eastAsia="zh-CN"/>
        </w:rPr>
        <w:t xml:space="preserve"> = 112 symbols as the basic UE capability and </w:t>
      </w:r>
      <w:r>
        <w:rPr>
          <w:rFonts w:ascii="Times New Roman" w:hAnsi="Times New Roman" w:cs="Times New Roman"/>
          <w:i/>
          <w:sz w:val="21"/>
          <w:szCs w:val="21"/>
        </w:rPr>
        <w:t>d</w:t>
      </w:r>
      <w:r>
        <w:rPr>
          <w:rFonts w:hint="default" w:ascii="Times New Roman" w:hAnsi="Times New Roman" w:eastAsia="宋体" w:cs="Times New Roman"/>
          <w:i w:val="0"/>
          <w:iCs/>
          <w:sz w:val="21"/>
          <w:szCs w:val="21"/>
          <w:lang w:val="en-US" w:eastAsia="zh-CN"/>
        </w:rPr>
        <w:t xml:space="preserve"> = 56 symbols as the optional UE capability. If the UE does not report its capability, </w:t>
      </w:r>
      <w:r>
        <w:rPr>
          <w:rFonts w:ascii="Times New Roman" w:hAnsi="Times New Roman" w:cs="Times New Roman"/>
          <w:i/>
          <w:sz w:val="21"/>
          <w:szCs w:val="21"/>
        </w:rPr>
        <w:t>d</w:t>
      </w:r>
      <w:r>
        <w:rPr>
          <w:rFonts w:hint="default" w:ascii="Times New Roman" w:hAnsi="Times New Roman" w:eastAsia="宋体" w:cs="Times New Roman"/>
          <w:i w:val="0"/>
          <w:iCs/>
          <w:sz w:val="21"/>
          <w:szCs w:val="21"/>
          <w:lang w:val="en-US" w:eastAsia="zh-CN"/>
        </w:rPr>
        <w:t xml:space="preserve"> = 112 symbols can be used as default UE capability.</w:t>
      </w:r>
    </w:p>
    <w:p>
      <w:pPr>
        <w:jc w:val="both"/>
        <w:rPr>
          <w:rFonts w:hint="default"/>
          <w:b w:val="0"/>
          <w:bCs w:val="0"/>
          <w:color w:val="auto"/>
          <w:sz w:val="20"/>
          <w:szCs w:val="20"/>
          <w:lang w:val="en-US" w:eastAsia="zh-CN"/>
        </w:rPr>
      </w:pPr>
      <w:r>
        <w:rPr>
          <w:rFonts w:hint="eastAsia"/>
          <w:b/>
          <w:bCs/>
          <w:color w:val="auto"/>
          <w:sz w:val="21"/>
          <w:szCs w:val="21"/>
          <w:lang w:val="en-US" w:eastAsia="zh-CN"/>
        </w:rPr>
        <w:t xml:space="preserve">Proposal 3: </w:t>
      </w:r>
      <w:r>
        <w:rPr>
          <w:rFonts w:hint="default" w:ascii="Times New Roman" w:hAnsi="Times New Roman" w:eastAsia="宋体" w:cs="Times New Roman"/>
          <w:b/>
          <w:bCs/>
          <w:iCs/>
          <w:color w:val="auto"/>
          <w:sz w:val="21"/>
          <w:szCs w:val="21"/>
          <w:lang w:val="en-US" w:eastAsia="zh-CN"/>
        </w:rPr>
        <w:t xml:space="preserve">We propose </w:t>
      </w:r>
      <w:r>
        <w:rPr>
          <w:rFonts w:hint="eastAsia" w:ascii="Times New Roman" w:hAnsi="Times New Roman" w:eastAsia="宋体" w:cs="Times New Roman"/>
          <w:b/>
          <w:bCs/>
          <w:iCs/>
          <w:color w:val="auto"/>
          <w:sz w:val="21"/>
          <w:szCs w:val="21"/>
          <w:lang w:val="en-US" w:eastAsia="zh-CN"/>
        </w:rPr>
        <w:t xml:space="preserve">that </w:t>
      </w:r>
      <w:r>
        <w:rPr>
          <w:rFonts w:ascii="Times New Roman" w:hAnsi="Times New Roman" w:eastAsia="Batang" w:cs="Times New Roman"/>
          <w:b/>
          <w:bCs/>
          <w:color w:val="auto"/>
          <w:sz w:val="21"/>
          <w:szCs w:val="21"/>
          <w:lang w:eastAsia="ko-KR"/>
        </w:rPr>
        <w:t>additional</w:t>
      </w:r>
      <w:r>
        <w:rPr>
          <w:rFonts w:hint="default" w:ascii="Times New Roman" w:hAnsi="Times New Roman" w:eastAsia="Batang" w:cs="Times New Roman"/>
          <w:b/>
          <w:bCs/>
          <w:color w:val="auto"/>
          <w:sz w:val="21"/>
          <w:szCs w:val="21"/>
          <w:lang w:val="en-US" w:eastAsia="zh-CN"/>
        </w:rPr>
        <w:t xml:space="preserve"> </w:t>
      </w:r>
      <w:r>
        <w:rPr>
          <w:rFonts w:hint="eastAsia" w:ascii="Times New Roman" w:hAnsi="Times New Roman" w:eastAsia="Batang" w:cs="Times New Roman"/>
          <w:b/>
          <w:bCs/>
          <w:color w:val="auto"/>
          <w:sz w:val="21"/>
          <w:szCs w:val="21"/>
          <w:lang w:val="en-US" w:eastAsia="zh-CN"/>
        </w:rPr>
        <w:t xml:space="preserve">beam switching time </w:t>
      </w:r>
      <w:r>
        <w:rPr>
          <w:rFonts w:hint="default" w:ascii="Times New Roman" w:hAnsi="Times New Roman" w:eastAsia="Batang" w:cs="Times New Roman"/>
          <w:b/>
          <w:bCs/>
          <w:color w:val="auto"/>
          <w:sz w:val="21"/>
          <w:szCs w:val="21"/>
          <w:lang w:val="en-US" w:eastAsia="zh-CN"/>
        </w:rPr>
        <w:t xml:space="preserve">delay </w:t>
      </w:r>
      <w:r>
        <w:rPr>
          <w:rFonts w:ascii="Times New Roman" w:hAnsi="Times New Roman" w:cs="Times New Roman"/>
          <w:b/>
          <w:bCs/>
          <w:i/>
          <w:color w:val="auto"/>
          <w:sz w:val="21"/>
          <w:szCs w:val="21"/>
        </w:rPr>
        <w:t>d</w:t>
      </w:r>
      <w:r>
        <w:rPr>
          <w:rFonts w:hint="default" w:ascii="Times New Roman" w:hAnsi="Times New Roman" w:eastAsia="宋体" w:cs="Times New Roman"/>
          <w:b/>
          <w:bCs/>
          <w:i w:val="0"/>
          <w:iCs/>
          <w:color w:val="auto"/>
          <w:sz w:val="21"/>
          <w:szCs w:val="21"/>
          <w:lang w:val="en-US" w:eastAsia="zh-CN"/>
        </w:rPr>
        <w:t xml:space="preserve"> = 112 symbols as the basic UE capability and </w:t>
      </w:r>
      <w:r>
        <w:rPr>
          <w:rFonts w:ascii="Times New Roman" w:hAnsi="Times New Roman" w:cs="Times New Roman"/>
          <w:b/>
          <w:bCs/>
          <w:i/>
          <w:color w:val="auto"/>
          <w:sz w:val="21"/>
          <w:szCs w:val="21"/>
        </w:rPr>
        <w:t>d</w:t>
      </w:r>
      <w:r>
        <w:rPr>
          <w:rFonts w:hint="default" w:ascii="Times New Roman" w:hAnsi="Times New Roman" w:eastAsia="宋体" w:cs="Times New Roman"/>
          <w:b/>
          <w:bCs/>
          <w:i w:val="0"/>
          <w:iCs/>
          <w:color w:val="auto"/>
          <w:sz w:val="21"/>
          <w:szCs w:val="21"/>
          <w:lang w:val="en-US" w:eastAsia="zh-CN"/>
        </w:rPr>
        <w:t xml:space="preserve"> = 56 symbols as the optional UE capability. If the UE does not report its capability, </w:t>
      </w:r>
      <w:r>
        <w:rPr>
          <w:rFonts w:ascii="Times New Roman" w:hAnsi="Times New Roman" w:cs="Times New Roman"/>
          <w:b/>
          <w:bCs/>
          <w:i/>
          <w:color w:val="auto"/>
          <w:sz w:val="21"/>
          <w:szCs w:val="21"/>
        </w:rPr>
        <w:t>d</w:t>
      </w:r>
      <w:r>
        <w:rPr>
          <w:rFonts w:hint="default" w:ascii="Times New Roman" w:hAnsi="Times New Roman" w:eastAsia="宋体" w:cs="Times New Roman"/>
          <w:b/>
          <w:bCs/>
          <w:i w:val="0"/>
          <w:iCs/>
          <w:color w:val="auto"/>
          <w:sz w:val="21"/>
          <w:szCs w:val="21"/>
          <w:lang w:val="en-US" w:eastAsia="zh-CN"/>
        </w:rPr>
        <w:t xml:space="preserve"> = 112 symbols can be used as default UE capability.</w:t>
      </w:r>
    </w:p>
    <w:bookmarkEnd w:id="0"/>
    <w:bookmarkEnd w:id="1"/>
    <w:bookmarkEnd w:id="2"/>
    <w:bookmarkEnd w:id="3"/>
    <w:bookmarkEnd w:id="4"/>
    <w:p>
      <w:pPr>
        <w:pStyle w:val="2"/>
        <w:spacing w:before="120" w:after="120" w:line="240" w:lineRule="auto"/>
        <w:jc w:val="both"/>
        <w:rPr>
          <w:rFonts w:ascii="Times New Roman" w:hAnsi="Times New Roman" w:eastAsia="宋体"/>
          <w:b/>
          <w:color w:val="auto"/>
          <w:sz w:val="32"/>
          <w:szCs w:val="32"/>
          <w:lang w:val="en-US" w:eastAsia="zh-CN"/>
        </w:rPr>
      </w:pPr>
      <w:r>
        <w:rPr>
          <w:rFonts w:hint="eastAsia" w:ascii="Times New Roman" w:hAnsi="Times New Roman" w:eastAsia="宋体"/>
          <w:b/>
          <w:color w:val="auto"/>
          <w:sz w:val="32"/>
          <w:szCs w:val="32"/>
          <w:lang w:val="en-US" w:eastAsia="zh-CN"/>
        </w:rPr>
        <w:t xml:space="preserve"> Conclusion</w:t>
      </w:r>
    </w:p>
    <w:p>
      <w:pPr>
        <w:jc w:val="both"/>
        <w:rPr>
          <w:rFonts w:hint="eastAsia"/>
          <w:color w:val="auto"/>
          <w:sz w:val="21"/>
          <w:szCs w:val="21"/>
          <w:lang w:val="en-US" w:eastAsia="zh-CN"/>
        </w:rPr>
      </w:pPr>
      <w:r>
        <w:rPr>
          <w:rFonts w:hint="eastAsia"/>
          <w:color w:val="auto"/>
          <w:sz w:val="21"/>
          <w:szCs w:val="21"/>
          <w:lang w:val="en-US" w:eastAsia="zh-CN"/>
        </w:rPr>
        <w:t>In this contribution, we discuss beam management enhancements for NR above 52.6 GHz band operation and have the following proposals.</w:t>
      </w:r>
    </w:p>
    <w:p>
      <w:pPr>
        <w:keepNext w:val="0"/>
        <w:keepLines w:val="0"/>
        <w:pageBreakBefore w:val="0"/>
        <w:widowControl/>
        <w:kinsoku/>
        <w:wordWrap/>
        <w:overflowPunct/>
        <w:topLinePunct w:val="0"/>
        <w:autoSpaceDE/>
        <w:autoSpaceDN/>
        <w:bidi w:val="0"/>
        <w:adjustRightInd/>
        <w:snapToGrid/>
        <w:spacing w:after="0" w:line="260" w:lineRule="auto"/>
        <w:jc w:val="both"/>
        <w:textAlignment w:val="auto"/>
        <w:rPr>
          <w:rFonts w:hint="default"/>
          <w:b/>
          <w:bCs/>
          <w:color w:val="auto"/>
          <w:sz w:val="21"/>
          <w:szCs w:val="21"/>
          <w:lang w:val="en-US" w:eastAsia="zh-CN"/>
        </w:rPr>
      </w:pPr>
      <w:r>
        <w:rPr>
          <w:rFonts w:hint="eastAsia"/>
          <w:b/>
          <w:bCs/>
          <w:color w:val="auto"/>
          <w:sz w:val="21"/>
          <w:szCs w:val="21"/>
          <w:lang w:val="en-US" w:eastAsia="zh-CN"/>
        </w:rPr>
        <w:t>Proposal 1: For multi-PDSCH scheduling by a single DCI, adopt either of TP#1-1 or TP#1-2 in TS 38.214.</w:t>
      </w:r>
    </w:p>
    <w:p>
      <w:pPr>
        <w:keepNext w:val="0"/>
        <w:keepLines w:val="0"/>
        <w:pageBreakBefore w:val="0"/>
        <w:widowControl/>
        <w:numPr>
          <w:ilvl w:val="0"/>
          <w:numId w:val="13"/>
        </w:numPr>
        <w:kinsoku/>
        <w:wordWrap/>
        <w:overflowPunct/>
        <w:topLinePunct w:val="0"/>
        <w:autoSpaceDE/>
        <w:autoSpaceDN/>
        <w:bidi w:val="0"/>
        <w:adjustRightInd/>
        <w:snapToGrid/>
        <w:spacing w:after="0" w:line="260" w:lineRule="auto"/>
        <w:ind w:left="420" w:leftChars="0" w:hanging="420" w:firstLineChars="0"/>
        <w:jc w:val="both"/>
        <w:textAlignment w:val="auto"/>
        <w:rPr>
          <w:rFonts w:hint="eastAsia" w:eastAsia="宋体" w:cs="Times New Roman"/>
          <w:b/>
          <w:bCs/>
          <w:sz w:val="21"/>
          <w:szCs w:val="21"/>
          <w:lang w:val="en-US" w:eastAsia="zh-CN"/>
        </w:rPr>
      </w:pPr>
      <w:r>
        <w:rPr>
          <w:rFonts w:hint="default" w:ascii="Times New Roman" w:hAnsi="Times New Roman" w:cs="Times New Roman"/>
          <w:b/>
          <w:bCs/>
          <w:sz w:val="21"/>
          <w:szCs w:val="21"/>
        </w:rPr>
        <w:t xml:space="preserve">the indicated TCI state should be based on the activated TCI states in the first slot with </w:t>
      </w:r>
      <w:r>
        <w:rPr>
          <w:rFonts w:hint="eastAsia" w:eastAsia="宋体" w:cs="Times New Roman"/>
          <w:b/>
          <w:bCs/>
          <w:sz w:val="21"/>
          <w:szCs w:val="21"/>
          <w:lang w:val="en-US" w:eastAsia="zh-CN"/>
        </w:rPr>
        <w:t xml:space="preserve">all </w:t>
      </w:r>
      <w:r>
        <w:rPr>
          <w:rFonts w:hint="default" w:ascii="Times New Roman" w:hAnsi="Times New Roman" w:cs="Times New Roman"/>
          <w:b/>
          <w:bCs/>
          <w:sz w:val="21"/>
          <w:szCs w:val="21"/>
        </w:rPr>
        <w:t>the scheduled PDSCH</w:t>
      </w:r>
      <w:r>
        <w:rPr>
          <w:rFonts w:hint="default" w:ascii="Times New Roman" w:hAnsi="Times New Roman" w:eastAsia="宋体" w:cs="Times New Roman"/>
          <w:b/>
          <w:bCs/>
          <w:sz w:val="21"/>
          <w:szCs w:val="21"/>
          <w:lang w:val="en-US" w:eastAsia="zh-CN"/>
        </w:rPr>
        <w:t>s</w:t>
      </w:r>
      <w:r>
        <w:rPr>
          <w:rFonts w:hint="default" w:ascii="Times New Roman" w:hAnsi="Times New Roman" w:cs="Times New Roman"/>
          <w:b/>
          <w:bCs/>
          <w:sz w:val="21"/>
          <w:szCs w:val="21"/>
        </w:rPr>
        <w:t>.</w:t>
      </w:r>
      <w:r>
        <w:rPr>
          <w:rFonts w:hint="eastAsia" w:eastAsia="宋体" w:cs="Times New Roman"/>
          <w:b/>
          <w:bCs/>
          <w:sz w:val="21"/>
          <w:szCs w:val="21"/>
          <w:lang w:val="en-US" w:eastAsia="zh-CN"/>
        </w:rPr>
        <w:t xml:space="preserve"> </w:t>
      </w:r>
    </w:p>
    <w:p>
      <w:pPr>
        <w:numPr>
          <w:ilvl w:val="0"/>
          <w:numId w:val="13"/>
        </w:numPr>
        <w:ind w:left="420" w:leftChars="0" w:hanging="420" w:firstLineChars="0"/>
        <w:jc w:val="both"/>
        <w:rPr>
          <w:rFonts w:hint="eastAsia"/>
          <w:color w:val="auto"/>
          <w:lang w:val="en-US" w:eastAsia="zh-CN"/>
        </w:rPr>
      </w:pPr>
      <w:r>
        <w:rPr>
          <w:rFonts w:hint="eastAsia" w:ascii="Times New Roman" w:hAnsi="Times New Roman" w:eastAsia="宋体" w:cs="Times New Roman"/>
          <w:b/>
          <w:bCs/>
          <w:color w:val="auto"/>
          <w:sz w:val="21"/>
          <w:szCs w:val="21"/>
          <w:lang w:val="en-US" w:eastAsia="zh-CN"/>
        </w:rPr>
        <w:t>same</w:t>
      </w:r>
      <w:r>
        <w:rPr>
          <w:rFonts w:hint="default" w:ascii="Times New Roman" w:hAnsi="Times New Roman" w:eastAsia="宋体" w:cs="Times New Roman"/>
          <w:b/>
          <w:bCs/>
          <w:sz w:val="21"/>
          <w:szCs w:val="21"/>
          <w:lang w:val="en-US" w:eastAsia="zh-CN"/>
        </w:rPr>
        <w:t xml:space="preserve"> gNB </w:t>
      </w:r>
      <w:r>
        <w:rPr>
          <w:rFonts w:hint="eastAsia" w:eastAsia="宋体" w:cs="Times New Roman"/>
          <w:b/>
          <w:bCs/>
          <w:sz w:val="21"/>
          <w:szCs w:val="21"/>
          <w:lang w:val="en-US" w:eastAsia="zh-CN"/>
        </w:rPr>
        <w:t>restriction on</w:t>
      </w:r>
      <w:r>
        <w:rPr>
          <w:rFonts w:hint="default" w:ascii="Times New Roman" w:hAnsi="Times New Roman" w:eastAsia="宋体" w:cs="Times New Roman"/>
          <w:b/>
          <w:bCs/>
          <w:sz w:val="21"/>
          <w:szCs w:val="21"/>
          <w:lang w:val="en-GB"/>
        </w:rPr>
        <w:t xml:space="preserve"> MAC-CE update</w:t>
      </w:r>
      <w:r>
        <w:rPr>
          <w:rFonts w:hint="eastAsia" w:eastAsia="宋体" w:cs="Times New Roman"/>
          <w:b/>
          <w:bCs/>
          <w:sz w:val="21"/>
          <w:szCs w:val="21"/>
          <w:lang w:val="en-US" w:eastAsia="zh-CN"/>
        </w:rPr>
        <w:t>s</w:t>
      </w:r>
      <w:r>
        <w:rPr>
          <w:rFonts w:hint="default" w:ascii="Times New Roman" w:hAnsi="Times New Roman" w:eastAsia="宋体" w:cs="Times New Roman"/>
          <w:b/>
          <w:bCs/>
          <w:sz w:val="21"/>
          <w:szCs w:val="21"/>
          <w:lang w:val="en-GB"/>
        </w:rPr>
        <w:t xml:space="preserve"> </w:t>
      </w:r>
      <w:r>
        <w:rPr>
          <w:rFonts w:hint="eastAsia" w:eastAsia="宋体" w:cs="Times New Roman"/>
          <w:b/>
          <w:bCs/>
          <w:sz w:val="21"/>
          <w:szCs w:val="21"/>
          <w:lang w:val="en-US" w:eastAsia="zh-CN"/>
        </w:rPr>
        <w:t>as for multi-slot PDSCH scheduling should be applied</w:t>
      </w:r>
      <w:r>
        <w:rPr>
          <w:rFonts w:hint="eastAsia" w:eastAsia="宋体" w:cs="Times New Roman"/>
          <w:sz w:val="21"/>
          <w:szCs w:val="21"/>
          <w:lang w:val="en-US" w:eastAsia="zh-CN"/>
        </w:rPr>
        <w:t>.</w:t>
      </w:r>
    </w:p>
    <w:p>
      <w:pPr>
        <w:jc w:val="both"/>
        <w:rPr>
          <w:rFonts w:hint="eastAsia" w:eastAsia="宋体"/>
          <w:b/>
          <w:bCs/>
          <w:color w:val="auto"/>
          <w:sz w:val="21"/>
          <w:szCs w:val="21"/>
          <w:lang w:val="en-US" w:eastAsia="zh-CN"/>
        </w:rPr>
      </w:pPr>
      <w:r>
        <w:rPr>
          <w:rFonts w:hint="eastAsia"/>
          <w:b/>
          <w:bCs/>
          <w:color w:val="auto"/>
          <w:sz w:val="21"/>
          <w:szCs w:val="21"/>
          <w:lang w:val="en-US" w:eastAsia="zh-CN"/>
        </w:rPr>
        <w:t xml:space="preserve">Proposal 2: Introduce a UE capability </w:t>
      </w:r>
      <w:r>
        <w:rPr>
          <w:rFonts w:hint="eastAsia" w:eastAsia="宋体"/>
          <w:b/>
          <w:bCs/>
          <w:color w:val="auto"/>
          <w:sz w:val="21"/>
          <w:szCs w:val="21"/>
          <w:lang w:val="en-US" w:eastAsia="zh-CN"/>
        </w:rPr>
        <w:t>for the UE reporting the beam switching time it can support.</w:t>
      </w:r>
    </w:p>
    <w:p>
      <w:pPr>
        <w:jc w:val="both"/>
        <w:rPr>
          <w:rFonts w:hint="default" w:eastAsia="宋体"/>
          <w:b/>
          <w:bCs/>
          <w:color w:val="auto"/>
          <w:sz w:val="21"/>
          <w:szCs w:val="21"/>
          <w:lang w:val="en-US" w:eastAsia="zh-CN"/>
        </w:rPr>
      </w:pPr>
      <w:r>
        <w:rPr>
          <w:rFonts w:hint="eastAsia"/>
          <w:b/>
          <w:bCs/>
          <w:color w:val="auto"/>
          <w:sz w:val="21"/>
          <w:szCs w:val="21"/>
          <w:lang w:val="en-US" w:eastAsia="zh-CN"/>
        </w:rPr>
        <w:t xml:space="preserve">Proposal 3: </w:t>
      </w:r>
      <w:r>
        <w:rPr>
          <w:rFonts w:hint="default" w:ascii="Times New Roman" w:hAnsi="Times New Roman" w:eastAsia="宋体" w:cs="Times New Roman"/>
          <w:b/>
          <w:bCs/>
          <w:iCs/>
          <w:color w:val="auto"/>
          <w:sz w:val="21"/>
          <w:szCs w:val="21"/>
          <w:lang w:val="en-US" w:eastAsia="zh-CN"/>
        </w:rPr>
        <w:t xml:space="preserve">We propose </w:t>
      </w:r>
      <w:r>
        <w:rPr>
          <w:rFonts w:hint="eastAsia" w:ascii="Times New Roman" w:hAnsi="Times New Roman" w:eastAsia="宋体" w:cs="Times New Roman"/>
          <w:b/>
          <w:bCs/>
          <w:iCs/>
          <w:color w:val="auto"/>
          <w:sz w:val="21"/>
          <w:szCs w:val="21"/>
          <w:lang w:val="en-US" w:eastAsia="zh-CN"/>
        </w:rPr>
        <w:t xml:space="preserve">that </w:t>
      </w:r>
      <w:r>
        <w:rPr>
          <w:rFonts w:ascii="Times New Roman" w:hAnsi="Times New Roman" w:eastAsia="Batang" w:cs="Times New Roman"/>
          <w:b/>
          <w:bCs/>
          <w:color w:val="auto"/>
          <w:sz w:val="21"/>
          <w:szCs w:val="21"/>
          <w:lang w:eastAsia="ko-KR"/>
        </w:rPr>
        <w:t>additional</w:t>
      </w:r>
      <w:r>
        <w:rPr>
          <w:rFonts w:hint="default" w:ascii="Times New Roman" w:hAnsi="Times New Roman" w:eastAsia="Batang" w:cs="Times New Roman"/>
          <w:b/>
          <w:bCs/>
          <w:color w:val="auto"/>
          <w:sz w:val="21"/>
          <w:szCs w:val="21"/>
          <w:lang w:val="en-US" w:eastAsia="zh-CN"/>
        </w:rPr>
        <w:t xml:space="preserve"> </w:t>
      </w:r>
      <w:r>
        <w:rPr>
          <w:rFonts w:hint="eastAsia" w:ascii="Times New Roman" w:hAnsi="Times New Roman" w:eastAsia="Batang" w:cs="Times New Roman"/>
          <w:b/>
          <w:bCs/>
          <w:color w:val="auto"/>
          <w:sz w:val="21"/>
          <w:szCs w:val="21"/>
          <w:lang w:val="en-US" w:eastAsia="zh-CN"/>
        </w:rPr>
        <w:t xml:space="preserve">beam switching time </w:t>
      </w:r>
      <w:r>
        <w:rPr>
          <w:rFonts w:hint="default" w:ascii="Times New Roman" w:hAnsi="Times New Roman" w:eastAsia="Batang" w:cs="Times New Roman"/>
          <w:b/>
          <w:bCs/>
          <w:color w:val="auto"/>
          <w:sz w:val="21"/>
          <w:szCs w:val="21"/>
          <w:lang w:val="en-US" w:eastAsia="zh-CN"/>
        </w:rPr>
        <w:t xml:space="preserve">delay </w:t>
      </w:r>
      <w:r>
        <w:rPr>
          <w:rFonts w:ascii="Times New Roman" w:hAnsi="Times New Roman" w:cs="Times New Roman"/>
          <w:b/>
          <w:bCs/>
          <w:i/>
          <w:color w:val="auto"/>
          <w:sz w:val="21"/>
          <w:szCs w:val="21"/>
        </w:rPr>
        <w:t>d</w:t>
      </w:r>
      <w:r>
        <w:rPr>
          <w:rFonts w:hint="default" w:ascii="Times New Roman" w:hAnsi="Times New Roman" w:eastAsia="宋体" w:cs="Times New Roman"/>
          <w:b/>
          <w:bCs/>
          <w:i w:val="0"/>
          <w:iCs/>
          <w:color w:val="auto"/>
          <w:sz w:val="21"/>
          <w:szCs w:val="21"/>
          <w:lang w:val="en-US" w:eastAsia="zh-CN"/>
        </w:rPr>
        <w:t xml:space="preserve"> = 112 symbols as the basic UE capability and </w:t>
      </w:r>
      <w:r>
        <w:rPr>
          <w:rFonts w:ascii="Times New Roman" w:hAnsi="Times New Roman" w:cs="Times New Roman"/>
          <w:b/>
          <w:bCs/>
          <w:i/>
          <w:color w:val="auto"/>
          <w:sz w:val="21"/>
          <w:szCs w:val="21"/>
        </w:rPr>
        <w:t>d</w:t>
      </w:r>
      <w:r>
        <w:rPr>
          <w:rFonts w:hint="default" w:ascii="Times New Roman" w:hAnsi="Times New Roman" w:eastAsia="宋体" w:cs="Times New Roman"/>
          <w:b/>
          <w:bCs/>
          <w:i w:val="0"/>
          <w:iCs/>
          <w:color w:val="auto"/>
          <w:sz w:val="21"/>
          <w:szCs w:val="21"/>
          <w:lang w:val="en-US" w:eastAsia="zh-CN"/>
        </w:rPr>
        <w:t xml:space="preserve"> = 56 symbols as the optional UE capability. If the UE does not report its capability, </w:t>
      </w:r>
      <w:r>
        <w:rPr>
          <w:rFonts w:ascii="Times New Roman" w:hAnsi="Times New Roman" w:cs="Times New Roman"/>
          <w:b/>
          <w:bCs/>
          <w:i/>
          <w:color w:val="auto"/>
          <w:sz w:val="21"/>
          <w:szCs w:val="21"/>
        </w:rPr>
        <w:t>d</w:t>
      </w:r>
      <w:r>
        <w:rPr>
          <w:rFonts w:hint="default" w:ascii="Times New Roman" w:hAnsi="Times New Roman" w:eastAsia="宋体" w:cs="Times New Roman"/>
          <w:b/>
          <w:bCs/>
          <w:i w:val="0"/>
          <w:iCs/>
          <w:color w:val="auto"/>
          <w:sz w:val="21"/>
          <w:szCs w:val="21"/>
          <w:lang w:val="en-US" w:eastAsia="zh-CN"/>
        </w:rPr>
        <w:t xml:space="preserve"> = 112 symbols can be used as default UE capability.</w:t>
      </w:r>
    </w:p>
    <w:p>
      <w:pPr>
        <w:pStyle w:val="2"/>
        <w:spacing w:before="120" w:after="120" w:line="240" w:lineRule="auto"/>
        <w:jc w:val="both"/>
        <w:rPr>
          <w:rFonts w:ascii="Times New Roman" w:hAnsi="Times New Roman" w:eastAsia="宋体"/>
          <w:b/>
          <w:color w:val="auto"/>
          <w:sz w:val="32"/>
          <w:szCs w:val="32"/>
          <w:lang w:val="en-US" w:eastAsia="zh-CN"/>
        </w:rPr>
      </w:pPr>
      <w:r>
        <w:rPr>
          <w:rFonts w:hint="eastAsia" w:ascii="Times New Roman" w:hAnsi="Times New Roman" w:eastAsia="宋体"/>
          <w:b/>
          <w:color w:val="auto"/>
          <w:sz w:val="32"/>
          <w:szCs w:val="32"/>
          <w:lang w:val="en-US" w:eastAsia="zh-CN"/>
        </w:rPr>
        <w:t xml:space="preserve"> Reference</w:t>
      </w:r>
    </w:p>
    <w:p>
      <w:pPr>
        <w:widowControl w:val="0"/>
        <w:numPr>
          <w:ilvl w:val="0"/>
          <w:numId w:val="15"/>
        </w:numPr>
        <w:autoSpaceDE w:val="0"/>
        <w:autoSpaceDN w:val="0"/>
        <w:adjustRightInd w:val="0"/>
        <w:spacing w:after="72" w:afterLines="30" w:line="240" w:lineRule="auto"/>
        <w:jc w:val="both"/>
        <w:rPr>
          <w:color w:val="auto"/>
          <w:sz w:val="21"/>
          <w:szCs w:val="21"/>
          <w:lang w:val="en-US" w:eastAsia="zh-CN"/>
        </w:rPr>
      </w:pPr>
      <w:r>
        <w:rPr>
          <w:color w:val="auto"/>
          <w:sz w:val="21"/>
          <w:szCs w:val="21"/>
          <w:lang w:val="en-US" w:eastAsia="zh-CN"/>
        </w:rPr>
        <w:t>R1-210</w:t>
      </w:r>
      <w:r>
        <w:rPr>
          <w:rFonts w:hint="eastAsia"/>
          <w:color w:val="auto"/>
          <w:sz w:val="21"/>
          <w:szCs w:val="21"/>
          <w:lang w:val="en-US" w:eastAsia="zh-CN"/>
        </w:rPr>
        <w:t xml:space="preserve">6425, </w:t>
      </w:r>
      <w:r>
        <w:rPr>
          <w:color w:val="auto"/>
          <w:sz w:val="21"/>
          <w:szCs w:val="21"/>
          <w:lang w:val="en-US" w:eastAsia="zh-CN"/>
        </w:rPr>
        <w:t>“LS on beam switching gap for 60 GHz band”</w:t>
      </w:r>
      <w:r>
        <w:rPr>
          <w:rFonts w:hint="eastAsia"/>
          <w:color w:val="auto"/>
          <w:sz w:val="21"/>
          <w:szCs w:val="21"/>
          <w:lang w:val="en-US" w:eastAsia="zh-CN"/>
        </w:rPr>
        <w:t>, RAN4, Apple</w:t>
      </w:r>
    </w:p>
    <w:p>
      <w:pPr>
        <w:widowControl w:val="0"/>
        <w:numPr>
          <w:ilvl w:val="255"/>
          <w:numId w:val="0"/>
        </w:numPr>
        <w:autoSpaceDE w:val="0"/>
        <w:autoSpaceDN w:val="0"/>
        <w:adjustRightInd w:val="0"/>
        <w:spacing w:after="72" w:afterLines="30" w:line="240" w:lineRule="auto"/>
        <w:jc w:val="both"/>
        <w:rPr>
          <w:color w:val="auto"/>
          <w:lang w:val="en-US" w:eastAsia="zh-CN"/>
        </w:rPr>
      </w:pPr>
    </w:p>
    <w:p>
      <w:pPr>
        <w:widowControl w:val="0"/>
        <w:numPr>
          <w:ilvl w:val="255"/>
          <w:numId w:val="0"/>
        </w:numPr>
        <w:autoSpaceDE w:val="0"/>
        <w:autoSpaceDN w:val="0"/>
        <w:adjustRightInd w:val="0"/>
        <w:spacing w:after="72" w:afterLines="30" w:line="240" w:lineRule="auto"/>
        <w:jc w:val="both"/>
        <w:rPr>
          <w:color w:val="auto"/>
          <w:lang w:val="en-US" w:eastAsia="zh-CN"/>
        </w:rPr>
      </w:pPr>
    </w:p>
    <w:p>
      <w:pPr>
        <w:rPr>
          <w:rFonts w:hint="eastAsia"/>
          <w:lang w:val="en-US" w:eastAsia="zh-CN"/>
        </w:rPr>
      </w:pPr>
    </w:p>
    <w:p>
      <w:pPr>
        <w:widowControl w:val="0"/>
        <w:numPr>
          <w:ilvl w:val="255"/>
          <w:numId w:val="0"/>
        </w:numPr>
        <w:autoSpaceDE w:val="0"/>
        <w:autoSpaceDN w:val="0"/>
        <w:adjustRightInd w:val="0"/>
        <w:spacing w:after="72" w:afterLines="30" w:line="240" w:lineRule="auto"/>
        <w:jc w:val="both"/>
        <w:rPr>
          <w:color w:val="auto"/>
          <w:lang w:val="en-US" w:eastAsia="zh-CN"/>
        </w:rPr>
      </w:pPr>
    </w:p>
    <w:sectPr>
      <w:footerReference r:id="rId5" w:type="default"/>
      <w:footerReference r:id="rId6" w:type="even"/>
      <w:footnotePr>
        <w:numRestart w:val="eachSect"/>
      </w:footnotePr>
      <w:pgSz w:w="12240" w:h="15840"/>
      <w:pgMar w:top="1418" w:right="1418" w:bottom="1418" w:left="1418" w:header="851" w:footer="340" w:gutter="0"/>
      <w:pgNumType w:start="1"/>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00" w:csb1="00000000"/>
  </w:font>
  <w:font w:name="바탕">
    <w:altName w:val="Malgun Gothic"/>
    <w:panose1 w:val="02030600000101010101"/>
    <w:charset w:val="81"/>
    <w:family w:val="roman"/>
    <w:pitch w:val="default"/>
    <w:sig w:usb0="00000000" w:usb1="00000000" w:usb2="00000030" w:usb3="00000000" w:csb0="0008009F" w:csb1="00000000"/>
  </w:font>
  <w:font w:name="仿宋">
    <w:panose1 w:val="02010609060101010101"/>
    <w:charset w:val="86"/>
    <w:family w:val="auto"/>
    <w:pitch w:val="default"/>
    <w:sig w:usb0="800002BF" w:usb1="38CF7CFA" w:usb2="00000016" w:usb3="00000000" w:csb0="00040001" w:csb1="00000000"/>
  </w:font>
  <w:font w:name="东文宋体">
    <w:altName w:val="宋体"/>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MS Mincho">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Fonts w:ascii="Times New Roman" w:hAnsi="Times New Roman"/>
        <w:b w:val="0"/>
        <w:i w:val="0"/>
      </w:rPr>
    </w:pPr>
    <w:r>
      <w:rPr>
        <w:rFonts w:ascii="Times New Roman" w:hAnsi="Times New Roman"/>
        <w:b w:val="0"/>
        <w:i w:val="0"/>
      </w:rPr>
      <w:fldChar w:fldCharType="begin"/>
    </w:r>
    <w:r>
      <w:rPr>
        <w:rStyle w:val="30"/>
        <w:rFonts w:ascii="Times New Roman" w:hAnsi="Times New Roman"/>
        <w:b w:val="0"/>
        <w:i w:val="0"/>
      </w:rPr>
      <w:instrText xml:space="preserve">PAGE  </w:instrText>
    </w:r>
    <w:r>
      <w:rPr>
        <w:rFonts w:ascii="Times New Roman" w:hAnsi="Times New Roman"/>
        <w:b w:val="0"/>
        <w:i w:val="0"/>
      </w:rPr>
      <w:fldChar w:fldCharType="separate"/>
    </w:r>
    <w:r>
      <w:rPr>
        <w:rStyle w:val="30"/>
        <w:rFonts w:ascii="Times New Roman" w:hAnsi="Times New Roman"/>
        <w:b w:val="0"/>
        <w:i w:val="0"/>
      </w:rPr>
      <w:t>2</w:t>
    </w:r>
    <w:r>
      <w:rPr>
        <w:rFonts w:ascii="Times New Roman" w:hAnsi="Times New Roman"/>
        <w:b w:val="0"/>
        <w:i w:val="0"/>
      </w:rPr>
      <w:fldChar w:fldCharType="end"/>
    </w:r>
  </w:p>
  <w:p>
    <w:pPr>
      <w:pStyle w:val="1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Pr>
    </w:pPr>
    <w:r>
      <w:fldChar w:fldCharType="begin"/>
    </w:r>
    <w:r>
      <w:rPr>
        <w:rStyle w:val="30"/>
      </w:rPr>
      <w:instrText xml:space="preserve">PAGE  </w:instrText>
    </w:r>
    <w:r>
      <w:fldChar w:fldCharType="separate"/>
    </w:r>
    <w:r>
      <w:rPr>
        <w:rStyle w:val="30"/>
      </w:rPr>
      <w:t>1</w:t>
    </w:r>
    <w:r>
      <w:fldChar w:fldCharType="end"/>
    </w:r>
  </w:p>
  <w:p>
    <w:pPr>
      <w:pStyle w:val="1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FCB9F6"/>
    <w:multiLevelType w:val="singleLevel"/>
    <w:tmpl w:val="EDFCB9F6"/>
    <w:lvl w:ilvl="0" w:tentative="0">
      <w:start w:val="1"/>
      <w:numFmt w:val="bullet"/>
      <w:lvlText w:val="‐"/>
      <w:lvlJc w:val="left"/>
      <w:pPr>
        <w:ind w:left="420" w:leftChars="0" w:hanging="420" w:firstLineChars="0"/>
      </w:pPr>
      <w:rPr>
        <w:rFonts w:hint="default" w:ascii="仿宋" w:hAnsi="仿宋" w:eastAsia="仿宋" w:cs="仿宋"/>
      </w:rPr>
    </w:lvl>
  </w:abstractNum>
  <w:abstractNum w:abstractNumId="1">
    <w:nsid w:val="F7BC7242"/>
    <w:multiLevelType w:val="singleLevel"/>
    <w:tmpl w:val="F7BC7242"/>
    <w:lvl w:ilvl="0" w:tentative="0">
      <w:start w:val="1"/>
      <w:numFmt w:val="bullet"/>
      <w:lvlText w:val=""/>
      <w:lvlJc w:val="left"/>
      <w:pPr>
        <w:ind w:left="420" w:hanging="420"/>
      </w:pPr>
      <w:rPr>
        <w:rFonts w:hint="default" w:ascii="Wingdings" w:hAnsi="Wingdings"/>
      </w:rPr>
    </w:lvl>
  </w:abstractNum>
  <w:abstractNum w:abstractNumId="2">
    <w:nsid w:val="FF3E80EA"/>
    <w:multiLevelType w:val="singleLevel"/>
    <w:tmpl w:val="FF3E80EA"/>
    <w:lvl w:ilvl="0" w:tentative="0">
      <w:start w:val="1"/>
      <w:numFmt w:val="bullet"/>
      <w:lvlText w:val="‐"/>
      <w:lvlJc w:val="left"/>
      <w:pPr>
        <w:ind w:left="420" w:leftChars="0" w:hanging="420" w:firstLineChars="0"/>
      </w:pPr>
      <w:rPr>
        <w:rFonts w:hint="default" w:ascii="仿宋" w:hAnsi="仿宋" w:eastAsia="仿宋" w:cs="仿宋"/>
      </w:rPr>
    </w:lvl>
  </w:abstractNum>
  <w:abstractNum w:abstractNumId="3">
    <w:nsid w:val="056E7F5C"/>
    <w:multiLevelType w:val="multilevel"/>
    <w:tmpl w:val="056E7F5C"/>
    <w:lvl w:ilvl="0" w:tentative="0">
      <w:start w:val="1"/>
      <w:numFmt w:val="decimal"/>
      <w:pStyle w:val="117"/>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4">
    <w:nsid w:val="0D67560A"/>
    <w:multiLevelType w:val="multilevel"/>
    <w:tmpl w:val="0D67560A"/>
    <w:lvl w:ilvl="0" w:tentative="0">
      <w:start w:val="1"/>
      <w:numFmt w:val="decimal"/>
      <w:pStyle w:val="128"/>
      <w:lvlText w:val="[%1]"/>
      <w:lvlJc w:val="left"/>
      <w:pPr>
        <w:tabs>
          <w:tab w:val="left" w:pos="1080"/>
        </w:tabs>
        <w:ind w:left="0" w:firstLine="0"/>
      </w:pPr>
      <w:rPr>
        <w:rFonts w:hint="default" w:ascii="Times New Roman Bold" w:hAnsi="Times New Roman Bold"/>
        <w:b/>
        <w:i w:val="0"/>
        <w:color w:val="FFFFFF" w:themeColor="background1"/>
        <w:sz w:val="24"/>
        <w:szCs w:val="24"/>
        <w:lang w:val="en"/>
        <w14:textFill>
          <w14:solidFill>
            <w14:schemeClr w14:val="bg1"/>
          </w14:solidFill>
        </w14:textFill>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720" w:hanging="720"/>
      </w:pPr>
      <w:rPr>
        <w:rFonts w:hint="default" w:eastAsia="MS Mincho"/>
        <w:lang w:val="en-GB"/>
      </w:rPr>
    </w:lvl>
    <w:lvl w:ilvl="2" w:tentative="0">
      <w:start w:val="1"/>
      <w:numFmt w:val="decimal"/>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6">
    <w:nsid w:val="228513F0"/>
    <w:multiLevelType w:val="multilevel"/>
    <w:tmpl w:val="228513F0"/>
    <w:lvl w:ilvl="0" w:tentative="0">
      <w:start w:val="1"/>
      <w:numFmt w:val="decimal"/>
      <w:pStyle w:val="102"/>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7">
    <w:nsid w:val="3AA46647"/>
    <w:multiLevelType w:val="multilevel"/>
    <w:tmpl w:val="3AA46647"/>
    <w:lvl w:ilvl="0" w:tentative="0">
      <w:start w:val="1"/>
      <w:numFmt w:val="decimal"/>
      <w:pStyle w:val="11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A55685D"/>
    <w:multiLevelType w:val="singleLevel"/>
    <w:tmpl w:val="4A55685D"/>
    <w:lvl w:ilvl="0" w:tentative="0">
      <w:start w:val="1"/>
      <w:numFmt w:val="bullet"/>
      <w:pStyle w:val="91"/>
      <w:lvlText w:val=""/>
      <w:lvlJc w:val="left"/>
      <w:pPr>
        <w:tabs>
          <w:tab w:val="left" w:pos="992"/>
        </w:tabs>
        <w:ind w:left="992" w:hanging="425"/>
      </w:pPr>
      <w:rPr>
        <w:rFonts w:hint="default" w:ascii="Symbol" w:hAnsi="Symbol"/>
      </w:rPr>
    </w:lvl>
  </w:abstractNum>
  <w:abstractNum w:abstractNumId="9">
    <w:nsid w:val="52CA544A"/>
    <w:multiLevelType w:val="singleLevel"/>
    <w:tmpl w:val="52CA544A"/>
    <w:lvl w:ilvl="0" w:tentative="0">
      <w:start w:val="1"/>
      <w:numFmt w:val="decimal"/>
      <w:pStyle w:val="108"/>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0">
    <w:nsid w:val="6E760327"/>
    <w:multiLevelType w:val="multilevel"/>
    <w:tmpl w:val="6E760327"/>
    <w:lvl w:ilvl="0" w:tentative="0">
      <w:start w:val="1"/>
      <w:numFmt w:val="decimal"/>
      <w:pStyle w:val="95"/>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1">
    <w:nsid w:val="6FFCF045"/>
    <w:multiLevelType w:val="singleLevel"/>
    <w:tmpl w:val="6FFCF045"/>
    <w:lvl w:ilvl="0" w:tentative="0">
      <w:start w:val="1"/>
      <w:numFmt w:val="bullet"/>
      <w:lvlText w:val="‐"/>
      <w:lvlJc w:val="left"/>
      <w:pPr>
        <w:ind w:left="420" w:leftChars="0" w:hanging="420" w:firstLineChars="0"/>
      </w:pPr>
      <w:rPr>
        <w:rFonts w:hint="default" w:ascii="仿宋" w:hAnsi="仿宋" w:eastAsia="仿宋" w:cs="仿宋"/>
      </w:rPr>
    </w:lvl>
  </w:abstractNum>
  <w:abstractNum w:abstractNumId="12">
    <w:nsid w:val="70146DC0"/>
    <w:multiLevelType w:val="multilevel"/>
    <w:tmpl w:val="70146DC0"/>
    <w:lvl w:ilvl="0" w:tentative="0">
      <w:start w:val="1"/>
      <w:numFmt w:val="bullet"/>
      <w:pStyle w:val="12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3">
    <w:nsid w:val="77DCE42B"/>
    <w:multiLevelType w:val="multilevel"/>
    <w:tmpl w:val="77DCE42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BC330F5"/>
    <w:multiLevelType w:val="multilevel"/>
    <w:tmpl w:val="7BC330F5"/>
    <w:lvl w:ilvl="0" w:tentative="0">
      <w:start w:val="1"/>
      <w:numFmt w:val="bullet"/>
      <w:pStyle w:val="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8"/>
  </w:num>
  <w:num w:numId="3">
    <w:abstractNumId w:val="10"/>
  </w:num>
  <w:num w:numId="4">
    <w:abstractNumId w:val="14"/>
  </w:num>
  <w:num w:numId="5">
    <w:abstractNumId w:val="6"/>
  </w:num>
  <w:num w:numId="6">
    <w:abstractNumId w:val="9"/>
  </w:num>
  <w:num w:numId="7">
    <w:abstractNumId w:val="7"/>
  </w:num>
  <w:num w:numId="8">
    <w:abstractNumId w:val="3"/>
  </w:num>
  <w:num w:numId="9">
    <w:abstractNumId w:val="12"/>
  </w:num>
  <w:num w:numId="10">
    <w:abstractNumId w:val="4"/>
  </w:num>
  <w:num w:numId="11">
    <w:abstractNumId w:val="0"/>
  </w:num>
  <w:num w:numId="12">
    <w:abstractNumId w:val="11"/>
  </w:num>
  <w:num w:numId="13">
    <w:abstractNumId w:val="2"/>
  </w:num>
  <w:num w:numId="14">
    <w:abstractNumId w:val="1"/>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nforcement="0"/>
  <w:defaultTabStop w:val="720"/>
  <w:hyphenationZone w:val="425"/>
  <w:drawingGridHorizontalSpacing w:val="100"/>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A99"/>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36D"/>
    <w:rsid w:val="0003455D"/>
    <w:rsid w:val="000346B2"/>
    <w:rsid w:val="00034872"/>
    <w:rsid w:val="0003496E"/>
    <w:rsid w:val="00034A9D"/>
    <w:rsid w:val="00034C56"/>
    <w:rsid w:val="00034DC8"/>
    <w:rsid w:val="00034FD8"/>
    <w:rsid w:val="0003515F"/>
    <w:rsid w:val="00035256"/>
    <w:rsid w:val="0003529E"/>
    <w:rsid w:val="00035356"/>
    <w:rsid w:val="00035852"/>
    <w:rsid w:val="000359AB"/>
    <w:rsid w:val="00035AFD"/>
    <w:rsid w:val="00035CF2"/>
    <w:rsid w:val="0003643E"/>
    <w:rsid w:val="00036664"/>
    <w:rsid w:val="00036A14"/>
    <w:rsid w:val="00036B60"/>
    <w:rsid w:val="00036BCD"/>
    <w:rsid w:val="000370A8"/>
    <w:rsid w:val="000374E7"/>
    <w:rsid w:val="000374F7"/>
    <w:rsid w:val="0003756D"/>
    <w:rsid w:val="000378C9"/>
    <w:rsid w:val="000379F4"/>
    <w:rsid w:val="00037A15"/>
    <w:rsid w:val="00037E5D"/>
    <w:rsid w:val="00037EE8"/>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921"/>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25AC"/>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923"/>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19E"/>
    <w:rsid w:val="000B1361"/>
    <w:rsid w:val="000B1611"/>
    <w:rsid w:val="000B17D4"/>
    <w:rsid w:val="000B1AA5"/>
    <w:rsid w:val="000B1AC7"/>
    <w:rsid w:val="000B1C69"/>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19"/>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5E0"/>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3D8"/>
    <w:rsid w:val="0013055B"/>
    <w:rsid w:val="00130661"/>
    <w:rsid w:val="0013087F"/>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712"/>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29"/>
    <w:rsid w:val="00170846"/>
    <w:rsid w:val="00170911"/>
    <w:rsid w:val="00170B84"/>
    <w:rsid w:val="00170C56"/>
    <w:rsid w:val="00170CA1"/>
    <w:rsid w:val="001710F7"/>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75"/>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A92"/>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5EB9"/>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6FCC"/>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584"/>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7D4"/>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B7DB5"/>
    <w:rsid w:val="002C00D8"/>
    <w:rsid w:val="002C0D5B"/>
    <w:rsid w:val="002C0E1F"/>
    <w:rsid w:val="002C0ECF"/>
    <w:rsid w:val="002C0F3D"/>
    <w:rsid w:val="002C14E7"/>
    <w:rsid w:val="002C1B49"/>
    <w:rsid w:val="002C1CF6"/>
    <w:rsid w:val="002C20FD"/>
    <w:rsid w:val="002C2B1E"/>
    <w:rsid w:val="002C2B48"/>
    <w:rsid w:val="002C2BB9"/>
    <w:rsid w:val="002C2DDE"/>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02D"/>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560"/>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4A2"/>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CD8"/>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8A3"/>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93F"/>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54F1"/>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4F"/>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B22"/>
    <w:rsid w:val="004F6CF8"/>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99C"/>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4AA"/>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5F1"/>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3F1C"/>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6B8"/>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45"/>
    <w:rsid w:val="005B4473"/>
    <w:rsid w:val="005B451C"/>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47E"/>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3B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0A"/>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D0A"/>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00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778"/>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0E4E"/>
    <w:rsid w:val="006A1125"/>
    <w:rsid w:val="006A14A3"/>
    <w:rsid w:val="006A1730"/>
    <w:rsid w:val="006A17B2"/>
    <w:rsid w:val="006A17C4"/>
    <w:rsid w:val="006A1AA3"/>
    <w:rsid w:val="006A1BF1"/>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56"/>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5DC"/>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2E"/>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C7EAB"/>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5A3"/>
    <w:rsid w:val="006E3846"/>
    <w:rsid w:val="006E38EB"/>
    <w:rsid w:val="006E3A4F"/>
    <w:rsid w:val="006E3D67"/>
    <w:rsid w:val="006E3F6E"/>
    <w:rsid w:val="006E40CA"/>
    <w:rsid w:val="006E446B"/>
    <w:rsid w:val="006E44D7"/>
    <w:rsid w:val="006E453B"/>
    <w:rsid w:val="006E45B7"/>
    <w:rsid w:val="006E4D5A"/>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CDA"/>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BCC"/>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26E"/>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9BC"/>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5FD9"/>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6CFA"/>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4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574"/>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0F0D"/>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406"/>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846"/>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922"/>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1E3"/>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1E6"/>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01"/>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4E5B"/>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A3F"/>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7F1"/>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D7EB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6F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676"/>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2E0"/>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DBA"/>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2A9"/>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EB2"/>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2F14"/>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7AE"/>
    <w:rsid w:val="00C23AE1"/>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6D0A"/>
    <w:rsid w:val="00C47503"/>
    <w:rsid w:val="00C47731"/>
    <w:rsid w:val="00C477A5"/>
    <w:rsid w:val="00C4789E"/>
    <w:rsid w:val="00C47A4E"/>
    <w:rsid w:val="00C47C95"/>
    <w:rsid w:val="00C5000D"/>
    <w:rsid w:val="00C506CE"/>
    <w:rsid w:val="00C50DC1"/>
    <w:rsid w:val="00C50E85"/>
    <w:rsid w:val="00C517E3"/>
    <w:rsid w:val="00C519BE"/>
    <w:rsid w:val="00C51EF0"/>
    <w:rsid w:val="00C5280F"/>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4"/>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8A"/>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39A"/>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1AB"/>
    <w:rsid w:val="00D20809"/>
    <w:rsid w:val="00D211EB"/>
    <w:rsid w:val="00D214FB"/>
    <w:rsid w:val="00D21A67"/>
    <w:rsid w:val="00D21B02"/>
    <w:rsid w:val="00D21DC0"/>
    <w:rsid w:val="00D21FB6"/>
    <w:rsid w:val="00D2202F"/>
    <w:rsid w:val="00D22711"/>
    <w:rsid w:val="00D22856"/>
    <w:rsid w:val="00D22A5B"/>
    <w:rsid w:val="00D22AB2"/>
    <w:rsid w:val="00D230DB"/>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198"/>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6DCA"/>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258"/>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A0"/>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1DD"/>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4EE4"/>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1C"/>
    <w:rsid w:val="00E2536C"/>
    <w:rsid w:val="00E25429"/>
    <w:rsid w:val="00E25607"/>
    <w:rsid w:val="00E259DD"/>
    <w:rsid w:val="00E25F71"/>
    <w:rsid w:val="00E26125"/>
    <w:rsid w:val="00E26D22"/>
    <w:rsid w:val="00E2711A"/>
    <w:rsid w:val="00E27140"/>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787"/>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41"/>
    <w:rsid w:val="00E603C5"/>
    <w:rsid w:val="00E604FB"/>
    <w:rsid w:val="00E605A6"/>
    <w:rsid w:val="00E60843"/>
    <w:rsid w:val="00E6128A"/>
    <w:rsid w:val="00E61539"/>
    <w:rsid w:val="00E61D0E"/>
    <w:rsid w:val="00E622F8"/>
    <w:rsid w:val="00E62584"/>
    <w:rsid w:val="00E62628"/>
    <w:rsid w:val="00E6265C"/>
    <w:rsid w:val="00E6290B"/>
    <w:rsid w:val="00E62D75"/>
    <w:rsid w:val="00E63048"/>
    <w:rsid w:val="00E6331F"/>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DFD"/>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192"/>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63"/>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216"/>
    <w:rsid w:val="00EC465E"/>
    <w:rsid w:val="00EC47B4"/>
    <w:rsid w:val="00EC4C2E"/>
    <w:rsid w:val="00EC4D5B"/>
    <w:rsid w:val="00EC500A"/>
    <w:rsid w:val="00EC523A"/>
    <w:rsid w:val="00EC53EB"/>
    <w:rsid w:val="00EC56C4"/>
    <w:rsid w:val="00EC5852"/>
    <w:rsid w:val="00EC5C6F"/>
    <w:rsid w:val="00EC6190"/>
    <w:rsid w:val="00EC63ED"/>
    <w:rsid w:val="00EC64A0"/>
    <w:rsid w:val="00EC65F2"/>
    <w:rsid w:val="00EC660C"/>
    <w:rsid w:val="00EC66C1"/>
    <w:rsid w:val="00EC6716"/>
    <w:rsid w:val="00EC680E"/>
    <w:rsid w:val="00EC68DF"/>
    <w:rsid w:val="00EC6C42"/>
    <w:rsid w:val="00EC759D"/>
    <w:rsid w:val="00ED01DA"/>
    <w:rsid w:val="00ED042F"/>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5B3"/>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958"/>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BFE"/>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6B"/>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2A89"/>
    <w:rsid w:val="010F0A3E"/>
    <w:rsid w:val="01100347"/>
    <w:rsid w:val="01120C0E"/>
    <w:rsid w:val="01181D5F"/>
    <w:rsid w:val="011E1C44"/>
    <w:rsid w:val="01215A1B"/>
    <w:rsid w:val="01226A27"/>
    <w:rsid w:val="01275A84"/>
    <w:rsid w:val="01404759"/>
    <w:rsid w:val="014538E3"/>
    <w:rsid w:val="0151177E"/>
    <w:rsid w:val="015C3B59"/>
    <w:rsid w:val="015C568F"/>
    <w:rsid w:val="01627245"/>
    <w:rsid w:val="016A5E1B"/>
    <w:rsid w:val="0171781D"/>
    <w:rsid w:val="017313AC"/>
    <w:rsid w:val="017B323D"/>
    <w:rsid w:val="017D57AE"/>
    <w:rsid w:val="01843AD0"/>
    <w:rsid w:val="01881F4C"/>
    <w:rsid w:val="018A7039"/>
    <w:rsid w:val="018E422E"/>
    <w:rsid w:val="0191059C"/>
    <w:rsid w:val="01981676"/>
    <w:rsid w:val="019A214A"/>
    <w:rsid w:val="019D1223"/>
    <w:rsid w:val="01A16B04"/>
    <w:rsid w:val="01A43B5C"/>
    <w:rsid w:val="01AF097B"/>
    <w:rsid w:val="01BA5F39"/>
    <w:rsid w:val="01C326DA"/>
    <w:rsid w:val="01CD6175"/>
    <w:rsid w:val="01CF6472"/>
    <w:rsid w:val="01D7237F"/>
    <w:rsid w:val="01E90EAA"/>
    <w:rsid w:val="01E9562A"/>
    <w:rsid w:val="01F0730D"/>
    <w:rsid w:val="01F37778"/>
    <w:rsid w:val="01FC6829"/>
    <w:rsid w:val="02016BC8"/>
    <w:rsid w:val="02052204"/>
    <w:rsid w:val="0218641B"/>
    <w:rsid w:val="023D68E9"/>
    <w:rsid w:val="024D11F3"/>
    <w:rsid w:val="02567B4A"/>
    <w:rsid w:val="025A2B48"/>
    <w:rsid w:val="025B6E07"/>
    <w:rsid w:val="02622CBC"/>
    <w:rsid w:val="027A1CC7"/>
    <w:rsid w:val="02821AE1"/>
    <w:rsid w:val="0282269B"/>
    <w:rsid w:val="02837FA5"/>
    <w:rsid w:val="028438E6"/>
    <w:rsid w:val="028F7F84"/>
    <w:rsid w:val="029415F5"/>
    <w:rsid w:val="029E2B9A"/>
    <w:rsid w:val="02A078F6"/>
    <w:rsid w:val="02A738FD"/>
    <w:rsid w:val="02A90E94"/>
    <w:rsid w:val="02AC3B9C"/>
    <w:rsid w:val="02BC1004"/>
    <w:rsid w:val="02C20A5F"/>
    <w:rsid w:val="02D8254A"/>
    <w:rsid w:val="030C5E59"/>
    <w:rsid w:val="03127134"/>
    <w:rsid w:val="03131BEB"/>
    <w:rsid w:val="03180265"/>
    <w:rsid w:val="031923E9"/>
    <w:rsid w:val="031E7C2A"/>
    <w:rsid w:val="03244425"/>
    <w:rsid w:val="032F2781"/>
    <w:rsid w:val="03335414"/>
    <w:rsid w:val="03380EE2"/>
    <w:rsid w:val="034800C3"/>
    <w:rsid w:val="03763069"/>
    <w:rsid w:val="037D0817"/>
    <w:rsid w:val="038113F9"/>
    <w:rsid w:val="03876C33"/>
    <w:rsid w:val="0388345E"/>
    <w:rsid w:val="03901647"/>
    <w:rsid w:val="03A0019E"/>
    <w:rsid w:val="03A80B76"/>
    <w:rsid w:val="03AC7855"/>
    <w:rsid w:val="03B005F4"/>
    <w:rsid w:val="03B76952"/>
    <w:rsid w:val="03CF2B82"/>
    <w:rsid w:val="03E0522E"/>
    <w:rsid w:val="03E86B31"/>
    <w:rsid w:val="03F65997"/>
    <w:rsid w:val="03F719F0"/>
    <w:rsid w:val="04066AB8"/>
    <w:rsid w:val="041162ED"/>
    <w:rsid w:val="041562A8"/>
    <w:rsid w:val="041A6AB4"/>
    <w:rsid w:val="041B3782"/>
    <w:rsid w:val="041D3FE2"/>
    <w:rsid w:val="04210D8C"/>
    <w:rsid w:val="04364A60"/>
    <w:rsid w:val="043815C4"/>
    <w:rsid w:val="043B501A"/>
    <w:rsid w:val="04586E3A"/>
    <w:rsid w:val="045D7B5C"/>
    <w:rsid w:val="046861DC"/>
    <w:rsid w:val="04735957"/>
    <w:rsid w:val="04826009"/>
    <w:rsid w:val="048869A8"/>
    <w:rsid w:val="048F68A9"/>
    <w:rsid w:val="04995EB2"/>
    <w:rsid w:val="04B14C72"/>
    <w:rsid w:val="04C06E5C"/>
    <w:rsid w:val="04D12DFB"/>
    <w:rsid w:val="04D40D89"/>
    <w:rsid w:val="04D620B5"/>
    <w:rsid w:val="04E12B8C"/>
    <w:rsid w:val="04EB52D7"/>
    <w:rsid w:val="04EF4836"/>
    <w:rsid w:val="04F06D1D"/>
    <w:rsid w:val="04F10E3F"/>
    <w:rsid w:val="050113F8"/>
    <w:rsid w:val="05231E10"/>
    <w:rsid w:val="052D6178"/>
    <w:rsid w:val="052E2D53"/>
    <w:rsid w:val="05382A12"/>
    <w:rsid w:val="053A645E"/>
    <w:rsid w:val="055A0EFA"/>
    <w:rsid w:val="055A269C"/>
    <w:rsid w:val="056C08F8"/>
    <w:rsid w:val="05721CA8"/>
    <w:rsid w:val="05781F83"/>
    <w:rsid w:val="057F0DF2"/>
    <w:rsid w:val="05841830"/>
    <w:rsid w:val="05876734"/>
    <w:rsid w:val="058843A5"/>
    <w:rsid w:val="05980A73"/>
    <w:rsid w:val="059D34CA"/>
    <w:rsid w:val="05B92FBE"/>
    <w:rsid w:val="05BC14EA"/>
    <w:rsid w:val="05D94EBE"/>
    <w:rsid w:val="05DE4683"/>
    <w:rsid w:val="05DF3F1B"/>
    <w:rsid w:val="05DF79CB"/>
    <w:rsid w:val="05E95F0A"/>
    <w:rsid w:val="05EA4E24"/>
    <w:rsid w:val="05EC4009"/>
    <w:rsid w:val="05ED35B8"/>
    <w:rsid w:val="05F074A4"/>
    <w:rsid w:val="05FB2CD3"/>
    <w:rsid w:val="060D5AA5"/>
    <w:rsid w:val="061A06CE"/>
    <w:rsid w:val="06261750"/>
    <w:rsid w:val="06276042"/>
    <w:rsid w:val="06340A05"/>
    <w:rsid w:val="063B1FB2"/>
    <w:rsid w:val="063D7168"/>
    <w:rsid w:val="06485014"/>
    <w:rsid w:val="06496A78"/>
    <w:rsid w:val="065E0C63"/>
    <w:rsid w:val="066F17E0"/>
    <w:rsid w:val="067A3DAD"/>
    <w:rsid w:val="06802650"/>
    <w:rsid w:val="0686332F"/>
    <w:rsid w:val="06864253"/>
    <w:rsid w:val="06A43D59"/>
    <w:rsid w:val="06A54B41"/>
    <w:rsid w:val="06C074EB"/>
    <w:rsid w:val="06C1240E"/>
    <w:rsid w:val="06C46BF4"/>
    <w:rsid w:val="06CB725E"/>
    <w:rsid w:val="06E1290F"/>
    <w:rsid w:val="06F76AE6"/>
    <w:rsid w:val="07015EFA"/>
    <w:rsid w:val="0707006E"/>
    <w:rsid w:val="070B2CE3"/>
    <w:rsid w:val="072922C5"/>
    <w:rsid w:val="072F6CF4"/>
    <w:rsid w:val="0734615D"/>
    <w:rsid w:val="07350C6A"/>
    <w:rsid w:val="0735734E"/>
    <w:rsid w:val="07377DDC"/>
    <w:rsid w:val="07386D83"/>
    <w:rsid w:val="073B19BC"/>
    <w:rsid w:val="074A4044"/>
    <w:rsid w:val="074B35A5"/>
    <w:rsid w:val="07826DCD"/>
    <w:rsid w:val="07871DCC"/>
    <w:rsid w:val="078B07F9"/>
    <w:rsid w:val="078E4F4B"/>
    <w:rsid w:val="07944B29"/>
    <w:rsid w:val="079F3045"/>
    <w:rsid w:val="07AC7E7C"/>
    <w:rsid w:val="07B34910"/>
    <w:rsid w:val="07BB7897"/>
    <w:rsid w:val="07C76AEB"/>
    <w:rsid w:val="07CE47C1"/>
    <w:rsid w:val="07D62B24"/>
    <w:rsid w:val="08303AFF"/>
    <w:rsid w:val="08337F1B"/>
    <w:rsid w:val="083B21D6"/>
    <w:rsid w:val="08465770"/>
    <w:rsid w:val="084745D0"/>
    <w:rsid w:val="08476D2A"/>
    <w:rsid w:val="084A42E3"/>
    <w:rsid w:val="084C4B82"/>
    <w:rsid w:val="084D185F"/>
    <w:rsid w:val="084E1A17"/>
    <w:rsid w:val="0852789C"/>
    <w:rsid w:val="085D5801"/>
    <w:rsid w:val="0862758A"/>
    <w:rsid w:val="086A574E"/>
    <w:rsid w:val="08792428"/>
    <w:rsid w:val="087945D7"/>
    <w:rsid w:val="087E66D2"/>
    <w:rsid w:val="08807319"/>
    <w:rsid w:val="088E6842"/>
    <w:rsid w:val="08A83452"/>
    <w:rsid w:val="08B20EA3"/>
    <w:rsid w:val="08B574EC"/>
    <w:rsid w:val="08B57F92"/>
    <w:rsid w:val="08C447CA"/>
    <w:rsid w:val="08CE2E9E"/>
    <w:rsid w:val="08E279FE"/>
    <w:rsid w:val="08E539A8"/>
    <w:rsid w:val="08F72EC2"/>
    <w:rsid w:val="08FF3E43"/>
    <w:rsid w:val="09102F3A"/>
    <w:rsid w:val="09117C91"/>
    <w:rsid w:val="09134CB1"/>
    <w:rsid w:val="09253AF3"/>
    <w:rsid w:val="09275714"/>
    <w:rsid w:val="093120ED"/>
    <w:rsid w:val="094077F0"/>
    <w:rsid w:val="094A7455"/>
    <w:rsid w:val="09552E33"/>
    <w:rsid w:val="09566CA4"/>
    <w:rsid w:val="095C0D34"/>
    <w:rsid w:val="09736BC3"/>
    <w:rsid w:val="0974287E"/>
    <w:rsid w:val="09832AAA"/>
    <w:rsid w:val="0984338A"/>
    <w:rsid w:val="09876497"/>
    <w:rsid w:val="098B7640"/>
    <w:rsid w:val="098F1481"/>
    <w:rsid w:val="09904C1A"/>
    <w:rsid w:val="0998050D"/>
    <w:rsid w:val="099F5C87"/>
    <w:rsid w:val="09A918FF"/>
    <w:rsid w:val="09AF29E2"/>
    <w:rsid w:val="09DF01A9"/>
    <w:rsid w:val="09DF4DE6"/>
    <w:rsid w:val="09E15DEC"/>
    <w:rsid w:val="09E72ABF"/>
    <w:rsid w:val="09F3224C"/>
    <w:rsid w:val="09F5356A"/>
    <w:rsid w:val="09F756A5"/>
    <w:rsid w:val="09FB5032"/>
    <w:rsid w:val="0A007FB9"/>
    <w:rsid w:val="0A0248E2"/>
    <w:rsid w:val="0A197D7E"/>
    <w:rsid w:val="0A260017"/>
    <w:rsid w:val="0A350A2E"/>
    <w:rsid w:val="0A3940D5"/>
    <w:rsid w:val="0A44449B"/>
    <w:rsid w:val="0A613380"/>
    <w:rsid w:val="0A68565C"/>
    <w:rsid w:val="0A6F1719"/>
    <w:rsid w:val="0A750E8A"/>
    <w:rsid w:val="0A752211"/>
    <w:rsid w:val="0A7C07DD"/>
    <w:rsid w:val="0A7C4051"/>
    <w:rsid w:val="0A7D67BF"/>
    <w:rsid w:val="0A860C80"/>
    <w:rsid w:val="0A8D2821"/>
    <w:rsid w:val="0AAC726A"/>
    <w:rsid w:val="0ABB44F9"/>
    <w:rsid w:val="0AC139E2"/>
    <w:rsid w:val="0AC563E4"/>
    <w:rsid w:val="0AC65B07"/>
    <w:rsid w:val="0AC716D4"/>
    <w:rsid w:val="0ADD2D69"/>
    <w:rsid w:val="0ADF132F"/>
    <w:rsid w:val="0AE21A7A"/>
    <w:rsid w:val="0AEA5FE2"/>
    <w:rsid w:val="0AEF7192"/>
    <w:rsid w:val="0AF456BE"/>
    <w:rsid w:val="0AFF24CE"/>
    <w:rsid w:val="0B1543BB"/>
    <w:rsid w:val="0B215E24"/>
    <w:rsid w:val="0B257548"/>
    <w:rsid w:val="0B2920B8"/>
    <w:rsid w:val="0B294304"/>
    <w:rsid w:val="0B420FE1"/>
    <w:rsid w:val="0B4C3E35"/>
    <w:rsid w:val="0B4C64FA"/>
    <w:rsid w:val="0B4E0560"/>
    <w:rsid w:val="0B5431C9"/>
    <w:rsid w:val="0B5C20A7"/>
    <w:rsid w:val="0B6426D9"/>
    <w:rsid w:val="0B66128E"/>
    <w:rsid w:val="0B6913F3"/>
    <w:rsid w:val="0B6C3AAF"/>
    <w:rsid w:val="0B734270"/>
    <w:rsid w:val="0B7C2A1B"/>
    <w:rsid w:val="0B7C3C97"/>
    <w:rsid w:val="0B851AE2"/>
    <w:rsid w:val="0B995225"/>
    <w:rsid w:val="0BA077C8"/>
    <w:rsid w:val="0BB55819"/>
    <w:rsid w:val="0BC43EFA"/>
    <w:rsid w:val="0BD53636"/>
    <w:rsid w:val="0BDB773F"/>
    <w:rsid w:val="0BDC0F5C"/>
    <w:rsid w:val="0BDE1749"/>
    <w:rsid w:val="0BE54882"/>
    <w:rsid w:val="0BE64F43"/>
    <w:rsid w:val="0BE9464C"/>
    <w:rsid w:val="0BE96CDD"/>
    <w:rsid w:val="0BF17147"/>
    <w:rsid w:val="0BF22E42"/>
    <w:rsid w:val="0BF61FC1"/>
    <w:rsid w:val="0C0016BA"/>
    <w:rsid w:val="0C090EA4"/>
    <w:rsid w:val="0C0C05C8"/>
    <w:rsid w:val="0C0E3321"/>
    <w:rsid w:val="0C1C3753"/>
    <w:rsid w:val="0C29100E"/>
    <w:rsid w:val="0C30263B"/>
    <w:rsid w:val="0C3A46A5"/>
    <w:rsid w:val="0C473253"/>
    <w:rsid w:val="0C4E3D8E"/>
    <w:rsid w:val="0C4F022E"/>
    <w:rsid w:val="0C5170A3"/>
    <w:rsid w:val="0C630475"/>
    <w:rsid w:val="0C6D1617"/>
    <w:rsid w:val="0C753611"/>
    <w:rsid w:val="0C8328A9"/>
    <w:rsid w:val="0C8F5033"/>
    <w:rsid w:val="0C923DBE"/>
    <w:rsid w:val="0C92626A"/>
    <w:rsid w:val="0C992FB8"/>
    <w:rsid w:val="0CA06B2F"/>
    <w:rsid w:val="0CA5215C"/>
    <w:rsid w:val="0CAA56ED"/>
    <w:rsid w:val="0CAC621A"/>
    <w:rsid w:val="0CB1691B"/>
    <w:rsid w:val="0CB23D75"/>
    <w:rsid w:val="0CB844DF"/>
    <w:rsid w:val="0CCF6077"/>
    <w:rsid w:val="0CD6186B"/>
    <w:rsid w:val="0CE01ED0"/>
    <w:rsid w:val="0CEA4514"/>
    <w:rsid w:val="0CED5790"/>
    <w:rsid w:val="0CF61231"/>
    <w:rsid w:val="0D02400E"/>
    <w:rsid w:val="0D051F38"/>
    <w:rsid w:val="0D0C6566"/>
    <w:rsid w:val="0D1536F1"/>
    <w:rsid w:val="0D1E5FB2"/>
    <w:rsid w:val="0D204BC7"/>
    <w:rsid w:val="0D232014"/>
    <w:rsid w:val="0D276A0D"/>
    <w:rsid w:val="0D2B3E5D"/>
    <w:rsid w:val="0D396850"/>
    <w:rsid w:val="0D400B96"/>
    <w:rsid w:val="0D4C56D2"/>
    <w:rsid w:val="0D5378CE"/>
    <w:rsid w:val="0D727EA8"/>
    <w:rsid w:val="0D7946EA"/>
    <w:rsid w:val="0D834A5C"/>
    <w:rsid w:val="0D893EB2"/>
    <w:rsid w:val="0D8C4BC2"/>
    <w:rsid w:val="0D9C16DD"/>
    <w:rsid w:val="0DBF562F"/>
    <w:rsid w:val="0DD400A1"/>
    <w:rsid w:val="0DD520DE"/>
    <w:rsid w:val="0DDA114E"/>
    <w:rsid w:val="0DDC03D6"/>
    <w:rsid w:val="0DDE16B6"/>
    <w:rsid w:val="0DE53E77"/>
    <w:rsid w:val="0DE748A8"/>
    <w:rsid w:val="0DFA76E6"/>
    <w:rsid w:val="0DFC649B"/>
    <w:rsid w:val="0E052000"/>
    <w:rsid w:val="0E075E25"/>
    <w:rsid w:val="0E1A3091"/>
    <w:rsid w:val="0E1A5799"/>
    <w:rsid w:val="0E1A59BE"/>
    <w:rsid w:val="0E1B6184"/>
    <w:rsid w:val="0E1B77B3"/>
    <w:rsid w:val="0E1C0F16"/>
    <w:rsid w:val="0E2735BC"/>
    <w:rsid w:val="0E2E1E85"/>
    <w:rsid w:val="0E3640EF"/>
    <w:rsid w:val="0E4F1CE0"/>
    <w:rsid w:val="0E4F5252"/>
    <w:rsid w:val="0E572C3E"/>
    <w:rsid w:val="0E8271E6"/>
    <w:rsid w:val="0E887123"/>
    <w:rsid w:val="0E8B4D0B"/>
    <w:rsid w:val="0EA621BE"/>
    <w:rsid w:val="0EAB594D"/>
    <w:rsid w:val="0EBD6AC8"/>
    <w:rsid w:val="0EC854C4"/>
    <w:rsid w:val="0ECC4D2D"/>
    <w:rsid w:val="0ED95C8A"/>
    <w:rsid w:val="0EF80EE4"/>
    <w:rsid w:val="0EFF773D"/>
    <w:rsid w:val="0F0D12D4"/>
    <w:rsid w:val="0F0F3003"/>
    <w:rsid w:val="0F1108EC"/>
    <w:rsid w:val="0F226CC5"/>
    <w:rsid w:val="0F2277D2"/>
    <w:rsid w:val="0F2D4EDE"/>
    <w:rsid w:val="0F2F7A73"/>
    <w:rsid w:val="0F340285"/>
    <w:rsid w:val="0F3710F5"/>
    <w:rsid w:val="0F425F0E"/>
    <w:rsid w:val="0F443DD6"/>
    <w:rsid w:val="0F4A313E"/>
    <w:rsid w:val="0F4F75B4"/>
    <w:rsid w:val="0F502B54"/>
    <w:rsid w:val="0F6013A0"/>
    <w:rsid w:val="0F716578"/>
    <w:rsid w:val="0F753AEF"/>
    <w:rsid w:val="0F810CE9"/>
    <w:rsid w:val="0F8D0B4E"/>
    <w:rsid w:val="0F8F102F"/>
    <w:rsid w:val="0FA470F8"/>
    <w:rsid w:val="0FB5088D"/>
    <w:rsid w:val="0FB97767"/>
    <w:rsid w:val="0FBF1A56"/>
    <w:rsid w:val="0FBF3418"/>
    <w:rsid w:val="0FC46A56"/>
    <w:rsid w:val="0FC57BB8"/>
    <w:rsid w:val="0FD6188A"/>
    <w:rsid w:val="0FE06793"/>
    <w:rsid w:val="0FEC5D00"/>
    <w:rsid w:val="0FF575F8"/>
    <w:rsid w:val="0FF65FDC"/>
    <w:rsid w:val="0FFE4483"/>
    <w:rsid w:val="10000831"/>
    <w:rsid w:val="100231D1"/>
    <w:rsid w:val="100579D5"/>
    <w:rsid w:val="10063E75"/>
    <w:rsid w:val="100E163A"/>
    <w:rsid w:val="1026756C"/>
    <w:rsid w:val="10294528"/>
    <w:rsid w:val="102C4085"/>
    <w:rsid w:val="103458CE"/>
    <w:rsid w:val="10414331"/>
    <w:rsid w:val="104E4B56"/>
    <w:rsid w:val="10532774"/>
    <w:rsid w:val="1054045C"/>
    <w:rsid w:val="10590E8D"/>
    <w:rsid w:val="105A58C1"/>
    <w:rsid w:val="10706296"/>
    <w:rsid w:val="10797EF4"/>
    <w:rsid w:val="107D3C0E"/>
    <w:rsid w:val="1083031A"/>
    <w:rsid w:val="108778E8"/>
    <w:rsid w:val="109821F7"/>
    <w:rsid w:val="10A15189"/>
    <w:rsid w:val="10AF75A3"/>
    <w:rsid w:val="10B47A73"/>
    <w:rsid w:val="10B62B53"/>
    <w:rsid w:val="10B81757"/>
    <w:rsid w:val="10BF2E44"/>
    <w:rsid w:val="10D00203"/>
    <w:rsid w:val="10D32F67"/>
    <w:rsid w:val="10D54519"/>
    <w:rsid w:val="10D57474"/>
    <w:rsid w:val="10DC0B31"/>
    <w:rsid w:val="10E91A4C"/>
    <w:rsid w:val="10ED7F30"/>
    <w:rsid w:val="10F87453"/>
    <w:rsid w:val="10FF2F5F"/>
    <w:rsid w:val="11083C1F"/>
    <w:rsid w:val="11163D3E"/>
    <w:rsid w:val="11272C1C"/>
    <w:rsid w:val="112F01F3"/>
    <w:rsid w:val="11362E5F"/>
    <w:rsid w:val="113F6847"/>
    <w:rsid w:val="11477748"/>
    <w:rsid w:val="11573160"/>
    <w:rsid w:val="116327EE"/>
    <w:rsid w:val="116739ED"/>
    <w:rsid w:val="117C5B35"/>
    <w:rsid w:val="119734D3"/>
    <w:rsid w:val="119A1E99"/>
    <w:rsid w:val="119D2515"/>
    <w:rsid w:val="11A3386B"/>
    <w:rsid w:val="11AF7FCE"/>
    <w:rsid w:val="11BB4CD7"/>
    <w:rsid w:val="11C23717"/>
    <w:rsid w:val="11C43249"/>
    <w:rsid w:val="11C60A1A"/>
    <w:rsid w:val="11DA3226"/>
    <w:rsid w:val="11DA7C8F"/>
    <w:rsid w:val="11DD2374"/>
    <w:rsid w:val="11E21C10"/>
    <w:rsid w:val="11E84264"/>
    <w:rsid w:val="11EA5AEE"/>
    <w:rsid w:val="11EC3740"/>
    <w:rsid w:val="11EC6DCB"/>
    <w:rsid w:val="12047298"/>
    <w:rsid w:val="121220D8"/>
    <w:rsid w:val="1215211F"/>
    <w:rsid w:val="12172F68"/>
    <w:rsid w:val="121B6C13"/>
    <w:rsid w:val="12203257"/>
    <w:rsid w:val="122320E5"/>
    <w:rsid w:val="12337389"/>
    <w:rsid w:val="12371DF9"/>
    <w:rsid w:val="124D1B03"/>
    <w:rsid w:val="12504C31"/>
    <w:rsid w:val="12516E7E"/>
    <w:rsid w:val="12532386"/>
    <w:rsid w:val="126045CA"/>
    <w:rsid w:val="1265749A"/>
    <w:rsid w:val="1267663B"/>
    <w:rsid w:val="1277751E"/>
    <w:rsid w:val="12982522"/>
    <w:rsid w:val="12B43182"/>
    <w:rsid w:val="12B46A84"/>
    <w:rsid w:val="12BA0258"/>
    <w:rsid w:val="12C625B4"/>
    <w:rsid w:val="12D35644"/>
    <w:rsid w:val="12F33BF9"/>
    <w:rsid w:val="12FE32F7"/>
    <w:rsid w:val="13002861"/>
    <w:rsid w:val="1305615F"/>
    <w:rsid w:val="13105018"/>
    <w:rsid w:val="131C5CF6"/>
    <w:rsid w:val="13227EB1"/>
    <w:rsid w:val="13304E79"/>
    <w:rsid w:val="133F446A"/>
    <w:rsid w:val="13400045"/>
    <w:rsid w:val="135225ED"/>
    <w:rsid w:val="1354272B"/>
    <w:rsid w:val="136F49A1"/>
    <w:rsid w:val="13783516"/>
    <w:rsid w:val="137C2658"/>
    <w:rsid w:val="137E142A"/>
    <w:rsid w:val="13824BD3"/>
    <w:rsid w:val="138A039A"/>
    <w:rsid w:val="139532E4"/>
    <w:rsid w:val="139E0CE9"/>
    <w:rsid w:val="13A30FC3"/>
    <w:rsid w:val="13A31406"/>
    <w:rsid w:val="13A90461"/>
    <w:rsid w:val="13BF1D88"/>
    <w:rsid w:val="13C94CE2"/>
    <w:rsid w:val="13CD7F40"/>
    <w:rsid w:val="13DE3682"/>
    <w:rsid w:val="13EB3632"/>
    <w:rsid w:val="13ED26CD"/>
    <w:rsid w:val="14237882"/>
    <w:rsid w:val="143E1552"/>
    <w:rsid w:val="143F6AFF"/>
    <w:rsid w:val="146B0173"/>
    <w:rsid w:val="14870828"/>
    <w:rsid w:val="148F0CA8"/>
    <w:rsid w:val="14920E25"/>
    <w:rsid w:val="1498573C"/>
    <w:rsid w:val="14991CB0"/>
    <w:rsid w:val="14A1759C"/>
    <w:rsid w:val="14B204D7"/>
    <w:rsid w:val="14B75A7E"/>
    <w:rsid w:val="14C155EF"/>
    <w:rsid w:val="14C82B34"/>
    <w:rsid w:val="14E04496"/>
    <w:rsid w:val="14EA76A8"/>
    <w:rsid w:val="14EB34AC"/>
    <w:rsid w:val="14EB6105"/>
    <w:rsid w:val="14F01AA3"/>
    <w:rsid w:val="14F2308B"/>
    <w:rsid w:val="14FD6BC6"/>
    <w:rsid w:val="15064D14"/>
    <w:rsid w:val="151B42D6"/>
    <w:rsid w:val="153C511F"/>
    <w:rsid w:val="153D04B8"/>
    <w:rsid w:val="154239ED"/>
    <w:rsid w:val="154D51FF"/>
    <w:rsid w:val="1555109B"/>
    <w:rsid w:val="155F58CA"/>
    <w:rsid w:val="1560619C"/>
    <w:rsid w:val="156B69AA"/>
    <w:rsid w:val="15700B17"/>
    <w:rsid w:val="1584685F"/>
    <w:rsid w:val="158570C9"/>
    <w:rsid w:val="158E2D5E"/>
    <w:rsid w:val="1592090C"/>
    <w:rsid w:val="159B4CCA"/>
    <w:rsid w:val="159D5808"/>
    <w:rsid w:val="15A46E63"/>
    <w:rsid w:val="15A52865"/>
    <w:rsid w:val="15AB3CC0"/>
    <w:rsid w:val="15B45159"/>
    <w:rsid w:val="15B75E6B"/>
    <w:rsid w:val="15C562E2"/>
    <w:rsid w:val="15CF116D"/>
    <w:rsid w:val="15D03364"/>
    <w:rsid w:val="15DF61C4"/>
    <w:rsid w:val="15F62CC1"/>
    <w:rsid w:val="15F725BC"/>
    <w:rsid w:val="15FA7C65"/>
    <w:rsid w:val="16060241"/>
    <w:rsid w:val="16081ED8"/>
    <w:rsid w:val="16095AFF"/>
    <w:rsid w:val="160A5000"/>
    <w:rsid w:val="160D102D"/>
    <w:rsid w:val="161E428D"/>
    <w:rsid w:val="16235048"/>
    <w:rsid w:val="16270C37"/>
    <w:rsid w:val="162B3FD9"/>
    <w:rsid w:val="163539B0"/>
    <w:rsid w:val="163A4FD7"/>
    <w:rsid w:val="16482066"/>
    <w:rsid w:val="165243D6"/>
    <w:rsid w:val="1654399A"/>
    <w:rsid w:val="166415C4"/>
    <w:rsid w:val="1670292F"/>
    <w:rsid w:val="16843EA3"/>
    <w:rsid w:val="16876F47"/>
    <w:rsid w:val="16893317"/>
    <w:rsid w:val="169979F2"/>
    <w:rsid w:val="16A8222F"/>
    <w:rsid w:val="16B70F95"/>
    <w:rsid w:val="16C74663"/>
    <w:rsid w:val="16DE10C7"/>
    <w:rsid w:val="16E353AF"/>
    <w:rsid w:val="16EE785C"/>
    <w:rsid w:val="16F6835E"/>
    <w:rsid w:val="17005BF2"/>
    <w:rsid w:val="170365A1"/>
    <w:rsid w:val="17150DAB"/>
    <w:rsid w:val="17164904"/>
    <w:rsid w:val="172A6B63"/>
    <w:rsid w:val="17313BED"/>
    <w:rsid w:val="1734468E"/>
    <w:rsid w:val="17480164"/>
    <w:rsid w:val="174B5EF9"/>
    <w:rsid w:val="174E4C34"/>
    <w:rsid w:val="175079B9"/>
    <w:rsid w:val="17513373"/>
    <w:rsid w:val="17543A7F"/>
    <w:rsid w:val="1758341D"/>
    <w:rsid w:val="176075D3"/>
    <w:rsid w:val="176209E7"/>
    <w:rsid w:val="1768007F"/>
    <w:rsid w:val="176A68C8"/>
    <w:rsid w:val="1798692F"/>
    <w:rsid w:val="17A6334D"/>
    <w:rsid w:val="17AE317B"/>
    <w:rsid w:val="17AE70D6"/>
    <w:rsid w:val="17B85BBA"/>
    <w:rsid w:val="17CD6181"/>
    <w:rsid w:val="17DE72B7"/>
    <w:rsid w:val="17E20D1C"/>
    <w:rsid w:val="17F70F34"/>
    <w:rsid w:val="18321DF7"/>
    <w:rsid w:val="184173E8"/>
    <w:rsid w:val="18441338"/>
    <w:rsid w:val="18545A97"/>
    <w:rsid w:val="185826DA"/>
    <w:rsid w:val="185A5120"/>
    <w:rsid w:val="18611EA0"/>
    <w:rsid w:val="18653077"/>
    <w:rsid w:val="186E2B2D"/>
    <w:rsid w:val="187619E6"/>
    <w:rsid w:val="187E5D26"/>
    <w:rsid w:val="1894179F"/>
    <w:rsid w:val="18944F87"/>
    <w:rsid w:val="18A116BD"/>
    <w:rsid w:val="18AD2830"/>
    <w:rsid w:val="18AD518E"/>
    <w:rsid w:val="18C17651"/>
    <w:rsid w:val="18D856D1"/>
    <w:rsid w:val="18DF2356"/>
    <w:rsid w:val="18F6629D"/>
    <w:rsid w:val="1939490B"/>
    <w:rsid w:val="194D7435"/>
    <w:rsid w:val="19522176"/>
    <w:rsid w:val="197536BB"/>
    <w:rsid w:val="19791462"/>
    <w:rsid w:val="197D5C63"/>
    <w:rsid w:val="19806D56"/>
    <w:rsid w:val="19864661"/>
    <w:rsid w:val="1988153A"/>
    <w:rsid w:val="19A14221"/>
    <w:rsid w:val="19B50A5E"/>
    <w:rsid w:val="19BD1CFE"/>
    <w:rsid w:val="19C54A70"/>
    <w:rsid w:val="19C945DE"/>
    <w:rsid w:val="19CA23B9"/>
    <w:rsid w:val="19D74F04"/>
    <w:rsid w:val="19DC58FA"/>
    <w:rsid w:val="19E80BF6"/>
    <w:rsid w:val="19F35A27"/>
    <w:rsid w:val="19F56342"/>
    <w:rsid w:val="1A055C38"/>
    <w:rsid w:val="1A087D0E"/>
    <w:rsid w:val="1A09099C"/>
    <w:rsid w:val="1A0E07A1"/>
    <w:rsid w:val="1A0E7437"/>
    <w:rsid w:val="1A2E6712"/>
    <w:rsid w:val="1A315DD1"/>
    <w:rsid w:val="1A3A4F94"/>
    <w:rsid w:val="1A523E33"/>
    <w:rsid w:val="1A5363F7"/>
    <w:rsid w:val="1A632733"/>
    <w:rsid w:val="1A65142D"/>
    <w:rsid w:val="1A6B3616"/>
    <w:rsid w:val="1A872A12"/>
    <w:rsid w:val="1A8D28D6"/>
    <w:rsid w:val="1A8E00E9"/>
    <w:rsid w:val="1A9226AE"/>
    <w:rsid w:val="1AC176FB"/>
    <w:rsid w:val="1AD03F0F"/>
    <w:rsid w:val="1AE8200C"/>
    <w:rsid w:val="1AE82E43"/>
    <w:rsid w:val="1AF1433B"/>
    <w:rsid w:val="1AFC1C91"/>
    <w:rsid w:val="1B074DA9"/>
    <w:rsid w:val="1B095903"/>
    <w:rsid w:val="1B0C26CA"/>
    <w:rsid w:val="1B0C6512"/>
    <w:rsid w:val="1B135D29"/>
    <w:rsid w:val="1B18787D"/>
    <w:rsid w:val="1B351EE8"/>
    <w:rsid w:val="1B3B734E"/>
    <w:rsid w:val="1B47751A"/>
    <w:rsid w:val="1B4D3741"/>
    <w:rsid w:val="1B551190"/>
    <w:rsid w:val="1B55577C"/>
    <w:rsid w:val="1B8158FF"/>
    <w:rsid w:val="1B82787B"/>
    <w:rsid w:val="1B8357F2"/>
    <w:rsid w:val="1B8D4B2E"/>
    <w:rsid w:val="1B903EE2"/>
    <w:rsid w:val="1BA0668A"/>
    <w:rsid w:val="1BBC1049"/>
    <w:rsid w:val="1BC67D9A"/>
    <w:rsid w:val="1BDA50E3"/>
    <w:rsid w:val="1BE2301B"/>
    <w:rsid w:val="1BF867C3"/>
    <w:rsid w:val="1C006A41"/>
    <w:rsid w:val="1C04440C"/>
    <w:rsid w:val="1C0556D6"/>
    <w:rsid w:val="1C0B74FC"/>
    <w:rsid w:val="1C101482"/>
    <w:rsid w:val="1C20757A"/>
    <w:rsid w:val="1C263616"/>
    <w:rsid w:val="1C2F45BE"/>
    <w:rsid w:val="1C316715"/>
    <w:rsid w:val="1C377675"/>
    <w:rsid w:val="1C3D50A3"/>
    <w:rsid w:val="1C757F7F"/>
    <w:rsid w:val="1C787286"/>
    <w:rsid w:val="1C7A4830"/>
    <w:rsid w:val="1C7A531A"/>
    <w:rsid w:val="1C7B3EC6"/>
    <w:rsid w:val="1C7D7EB8"/>
    <w:rsid w:val="1C800FF8"/>
    <w:rsid w:val="1C8801E2"/>
    <w:rsid w:val="1C924399"/>
    <w:rsid w:val="1C9A5EA0"/>
    <w:rsid w:val="1C9A6A63"/>
    <w:rsid w:val="1C9F6C4A"/>
    <w:rsid w:val="1CAA4438"/>
    <w:rsid w:val="1CBB0F59"/>
    <w:rsid w:val="1CBB7CFB"/>
    <w:rsid w:val="1CBE2DAD"/>
    <w:rsid w:val="1CC7659B"/>
    <w:rsid w:val="1CD41FC4"/>
    <w:rsid w:val="1CD955BC"/>
    <w:rsid w:val="1CF52455"/>
    <w:rsid w:val="1CFB4DD2"/>
    <w:rsid w:val="1D115009"/>
    <w:rsid w:val="1D2768F8"/>
    <w:rsid w:val="1D2C06E2"/>
    <w:rsid w:val="1D3B59B9"/>
    <w:rsid w:val="1D441B58"/>
    <w:rsid w:val="1D4428DE"/>
    <w:rsid w:val="1D487B7E"/>
    <w:rsid w:val="1D4D79F9"/>
    <w:rsid w:val="1D573F10"/>
    <w:rsid w:val="1D5D6ACF"/>
    <w:rsid w:val="1D5E7A8C"/>
    <w:rsid w:val="1D6070B0"/>
    <w:rsid w:val="1D6222F8"/>
    <w:rsid w:val="1D730083"/>
    <w:rsid w:val="1D805237"/>
    <w:rsid w:val="1D810454"/>
    <w:rsid w:val="1D853DAB"/>
    <w:rsid w:val="1D930C98"/>
    <w:rsid w:val="1D9C1DFE"/>
    <w:rsid w:val="1DA2040C"/>
    <w:rsid w:val="1DA533ED"/>
    <w:rsid w:val="1DA83214"/>
    <w:rsid w:val="1DB65020"/>
    <w:rsid w:val="1DC41BB0"/>
    <w:rsid w:val="1DC65AF6"/>
    <w:rsid w:val="1DCB08F7"/>
    <w:rsid w:val="1DE207F5"/>
    <w:rsid w:val="1DFC1FAF"/>
    <w:rsid w:val="1E042D27"/>
    <w:rsid w:val="1E0C16EA"/>
    <w:rsid w:val="1E0E23C8"/>
    <w:rsid w:val="1E155BC5"/>
    <w:rsid w:val="1E365099"/>
    <w:rsid w:val="1E377012"/>
    <w:rsid w:val="1E3C35CE"/>
    <w:rsid w:val="1E440A9D"/>
    <w:rsid w:val="1E4E7A0E"/>
    <w:rsid w:val="1E4F1888"/>
    <w:rsid w:val="1E5A7EBF"/>
    <w:rsid w:val="1E742DF8"/>
    <w:rsid w:val="1E750074"/>
    <w:rsid w:val="1E7D153B"/>
    <w:rsid w:val="1E9F341B"/>
    <w:rsid w:val="1EA42A59"/>
    <w:rsid w:val="1EA569F7"/>
    <w:rsid w:val="1EAC5F6A"/>
    <w:rsid w:val="1EB1048D"/>
    <w:rsid w:val="1EB23F53"/>
    <w:rsid w:val="1EB31AED"/>
    <w:rsid w:val="1EBB6441"/>
    <w:rsid w:val="1ECA2876"/>
    <w:rsid w:val="1EE10A81"/>
    <w:rsid w:val="1EF40910"/>
    <w:rsid w:val="1EF43711"/>
    <w:rsid w:val="1EF451B0"/>
    <w:rsid w:val="1EF6775E"/>
    <w:rsid w:val="1EFE123B"/>
    <w:rsid w:val="1EFE1FB4"/>
    <w:rsid w:val="1F015E1D"/>
    <w:rsid w:val="1F0467F7"/>
    <w:rsid w:val="1F054165"/>
    <w:rsid w:val="1F123352"/>
    <w:rsid w:val="1F1659F6"/>
    <w:rsid w:val="1F3B75FF"/>
    <w:rsid w:val="1F3F34F5"/>
    <w:rsid w:val="1F41163A"/>
    <w:rsid w:val="1F546471"/>
    <w:rsid w:val="1F5772DA"/>
    <w:rsid w:val="1F5C3C4E"/>
    <w:rsid w:val="1F690D21"/>
    <w:rsid w:val="1F743C11"/>
    <w:rsid w:val="1F7B76BF"/>
    <w:rsid w:val="1F7C26CB"/>
    <w:rsid w:val="1F7F7D85"/>
    <w:rsid w:val="1F885D57"/>
    <w:rsid w:val="1FA27229"/>
    <w:rsid w:val="1FA6339C"/>
    <w:rsid w:val="1FB11014"/>
    <w:rsid w:val="1FBB763F"/>
    <w:rsid w:val="1FBC79E0"/>
    <w:rsid w:val="1FBF4FFD"/>
    <w:rsid w:val="1FC74197"/>
    <w:rsid w:val="1FCC1591"/>
    <w:rsid w:val="1FD479BA"/>
    <w:rsid w:val="1FD55230"/>
    <w:rsid w:val="1FD641AB"/>
    <w:rsid w:val="1FE15B0A"/>
    <w:rsid w:val="20006656"/>
    <w:rsid w:val="20084F74"/>
    <w:rsid w:val="200C6F0C"/>
    <w:rsid w:val="201D4044"/>
    <w:rsid w:val="201E5A7F"/>
    <w:rsid w:val="20213B0F"/>
    <w:rsid w:val="20252FCF"/>
    <w:rsid w:val="202C6A57"/>
    <w:rsid w:val="20347263"/>
    <w:rsid w:val="203E746B"/>
    <w:rsid w:val="20450A76"/>
    <w:rsid w:val="20455F9C"/>
    <w:rsid w:val="20484A82"/>
    <w:rsid w:val="205358CB"/>
    <w:rsid w:val="20543631"/>
    <w:rsid w:val="20565824"/>
    <w:rsid w:val="208B227B"/>
    <w:rsid w:val="208E3E84"/>
    <w:rsid w:val="209078E2"/>
    <w:rsid w:val="209240DB"/>
    <w:rsid w:val="20934C03"/>
    <w:rsid w:val="2097534B"/>
    <w:rsid w:val="20991227"/>
    <w:rsid w:val="20992CFD"/>
    <w:rsid w:val="20A3135D"/>
    <w:rsid w:val="20A443A7"/>
    <w:rsid w:val="20AC32E3"/>
    <w:rsid w:val="20B27C05"/>
    <w:rsid w:val="20C05709"/>
    <w:rsid w:val="20CA4CDE"/>
    <w:rsid w:val="20E37B38"/>
    <w:rsid w:val="20EA32FE"/>
    <w:rsid w:val="20F17C8F"/>
    <w:rsid w:val="20FE3807"/>
    <w:rsid w:val="2110320E"/>
    <w:rsid w:val="212B15F0"/>
    <w:rsid w:val="212D241D"/>
    <w:rsid w:val="21485CC6"/>
    <w:rsid w:val="2150457A"/>
    <w:rsid w:val="215E0FE1"/>
    <w:rsid w:val="215F2694"/>
    <w:rsid w:val="21704749"/>
    <w:rsid w:val="21863D47"/>
    <w:rsid w:val="21882C92"/>
    <w:rsid w:val="218A0326"/>
    <w:rsid w:val="218B5863"/>
    <w:rsid w:val="21963AE9"/>
    <w:rsid w:val="219648AE"/>
    <w:rsid w:val="219926C2"/>
    <w:rsid w:val="21AC0B1E"/>
    <w:rsid w:val="21B92386"/>
    <w:rsid w:val="21CC6790"/>
    <w:rsid w:val="21CD469C"/>
    <w:rsid w:val="21CF7D11"/>
    <w:rsid w:val="21D33ED7"/>
    <w:rsid w:val="21D71CCE"/>
    <w:rsid w:val="21D90300"/>
    <w:rsid w:val="21DB194C"/>
    <w:rsid w:val="21E1785A"/>
    <w:rsid w:val="21E52F02"/>
    <w:rsid w:val="21E7264A"/>
    <w:rsid w:val="21EC11B4"/>
    <w:rsid w:val="21F139D9"/>
    <w:rsid w:val="21F75252"/>
    <w:rsid w:val="21FB0EA3"/>
    <w:rsid w:val="21FC15A7"/>
    <w:rsid w:val="22063857"/>
    <w:rsid w:val="22166F19"/>
    <w:rsid w:val="221B34F2"/>
    <w:rsid w:val="22243C81"/>
    <w:rsid w:val="22243ED5"/>
    <w:rsid w:val="223B79DE"/>
    <w:rsid w:val="223E4404"/>
    <w:rsid w:val="224B437A"/>
    <w:rsid w:val="224D0D69"/>
    <w:rsid w:val="225C6D59"/>
    <w:rsid w:val="2290426C"/>
    <w:rsid w:val="22A91330"/>
    <w:rsid w:val="22B34785"/>
    <w:rsid w:val="22B37922"/>
    <w:rsid w:val="22B45A21"/>
    <w:rsid w:val="22D04F77"/>
    <w:rsid w:val="22F149E7"/>
    <w:rsid w:val="22FD52E0"/>
    <w:rsid w:val="23151BBD"/>
    <w:rsid w:val="232064A5"/>
    <w:rsid w:val="232A5F2C"/>
    <w:rsid w:val="232D0D53"/>
    <w:rsid w:val="234902A8"/>
    <w:rsid w:val="234A49FF"/>
    <w:rsid w:val="2352170F"/>
    <w:rsid w:val="23533331"/>
    <w:rsid w:val="23537622"/>
    <w:rsid w:val="236739BC"/>
    <w:rsid w:val="237E7F63"/>
    <w:rsid w:val="238718C4"/>
    <w:rsid w:val="238C26AF"/>
    <w:rsid w:val="23A60BED"/>
    <w:rsid w:val="23AF20CF"/>
    <w:rsid w:val="23BE0C34"/>
    <w:rsid w:val="23E9634C"/>
    <w:rsid w:val="23EE567F"/>
    <w:rsid w:val="23FE39DA"/>
    <w:rsid w:val="24065B68"/>
    <w:rsid w:val="241B4EFA"/>
    <w:rsid w:val="2422724B"/>
    <w:rsid w:val="245B7134"/>
    <w:rsid w:val="246F1B15"/>
    <w:rsid w:val="2485277B"/>
    <w:rsid w:val="248F2AEF"/>
    <w:rsid w:val="2492033C"/>
    <w:rsid w:val="249D3DA9"/>
    <w:rsid w:val="24A563EF"/>
    <w:rsid w:val="24AD6B35"/>
    <w:rsid w:val="24B13323"/>
    <w:rsid w:val="24C6327F"/>
    <w:rsid w:val="24D834E8"/>
    <w:rsid w:val="24EA2AB5"/>
    <w:rsid w:val="24FA7582"/>
    <w:rsid w:val="24FD2B02"/>
    <w:rsid w:val="25024CF1"/>
    <w:rsid w:val="25112921"/>
    <w:rsid w:val="25153A7B"/>
    <w:rsid w:val="251A5BDD"/>
    <w:rsid w:val="251B4C7B"/>
    <w:rsid w:val="251B7C63"/>
    <w:rsid w:val="25263F20"/>
    <w:rsid w:val="252F41B5"/>
    <w:rsid w:val="25324381"/>
    <w:rsid w:val="253E482D"/>
    <w:rsid w:val="25415276"/>
    <w:rsid w:val="25442C2C"/>
    <w:rsid w:val="25443395"/>
    <w:rsid w:val="25480684"/>
    <w:rsid w:val="254B11E9"/>
    <w:rsid w:val="255514A1"/>
    <w:rsid w:val="255B6449"/>
    <w:rsid w:val="257631EC"/>
    <w:rsid w:val="257A1E7C"/>
    <w:rsid w:val="258007D6"/>
    <w:rsid w:val="25892068"/>
    <w:rsid w:val="25A534F7"/>
    <w:rsid w:val="25B40894"/>
    <w:rsid w:val="25B85AFD"/>
    <w:rsid w:val="25C1645F"/>
    <w:rsid w:val="25D80A4D"/>
    <w:rsid w:val="25E034F5"/>
    <w:rsid w:val="25F92FDB"/>
    <w:rsid w:val="25FFF53C"/>
    <w:rsid w:val="26001A57"/>
    <w:rsid w:val="26022936"/>
    <w:rsid w:val="26095F44"/>
    <w:rsid w:val="261B01E3"/>
    <w:rsid w:val="261D73E8"/>
    <w:rsid w:val="263142D4"/>
    <w:rsid w:val="263B4578"/>
    <w:rsid w:val="26447916"/>
    <w:rsid w:val="265E0639"/>
    <w:rsid w:val="266866BD"/>
    <w:rsid w:val="26696824"/>
    <w:rsid w:val="266C42F7"/>
    <w:rsid w:val="267109C3"/>
    <w:rsid w:val="267365C7"/>
    <w:rsid w:val="268A5924"/>
    <w:rsid w:val="268F5345"/>
    <w:rsid w:val="26972C43"/>
    <w:rsid w:val="26CB7903"/>
    <w:rsid w:val="26D11F9C"/>
    <w:rsid w:val="26D771E7"/>
    <w:rsid w:val="26DF04C0"/>
    <w:rsid w:val="26E66172"/>
    <w:rsid w:val="26ED2E1C"/>
    <w:rsid w:val="26EF6891"/>
    <w:rsid w:val="26F82DE5"/>
    <w:rsid w:val="27064754"/>
    <w:rsid w:val="270926B2"/>
    <w:rsid w:val="271313BF"/>
    <w:rsid w:val="27190AE2"/>
    <w:rsid w:val="2728538E"/>
    <w:rsid w:val="272F28E5"/>
    <w:rsid w:val="273E000B"/>
    <w:rsid w:val="27594E09"/>
    <w:rsid w:val="275A49BC"/>
    <w:rsid w:val="275C1141"/>
    <w:rsid w:val="276023AE"/>
    <w:rsid w:val="27685C29"/>
    <w:rsid w:val="276E5D6B"/>
    <w:rsid w:val="276F6AD9"/>
    <w:rsid w:val="277C70AE"/>
    <w:rsid w:val="278630A6"/>
    <w:rsid w:val="2786663F"/>
    <w:rsid w:val="27A2492F"/>
    <w:rsid w:val="27A26DCC"/>
    <w:rsid w:val="27B947C2"/>
    <w:rsid w:val="27DB36C2"/>
    <w:rsid w:val="27DB4429"/>
    <w:rsid w:val="27EE4629"/>
    <w:rsid w:val="27EF0EAD"/>
    <w:rsid w:val="28052235"/>
    <w:rsid w:val="281430C3"/>
    <w:rsid w:val="28152F24"/>
    <w:rsid w:val="281671B7"/>
    <w:rsid w:val="281E3EAE"/>
    <w:rsid w:val="28395805"/>
    <w:rsid w:val="285D13A9"/>
    <w:rsid w:val="28621496"/>
    <w:rsid w:val="2880449B"/>
    <w:rsid w:val="289813BC"/>
    <w:rsid w:val="28A742C0"/>
    <w:rsid w:val="28B16BAC"/>
    <w:rsid w:val="28B222C6"/>
    <w:rsid w:val="28BC08CE"/>
    <w:rsid w:val="28CF2CCD"/>
    <w:rsid w:val="28D334D0"/>
    <w:rsid w:val="28D701CA"/>
    <w:rsid w:val="28DC2D9C"/>
    <w:rsid w:val="28EB5815"/>
    <w:rsid w:val="28EC35B0"/>
    <w:rsid w:val="28F905BC"/>
    <w:rsid w:val="28FA5BE1"/>
    <w:rsid w:val="2903032F"/>
    <w:rsid w:val="290403ED"/>
    <w:rsid w:val="290B3ADD"/>
    <w:rsid w:val="29242AD0"/>
    <w:rsid w:val="29251C92"/>
    <w:rsid w:val="29415D74"/>
    <w:rsid w:val="29421D49"/>
    <w:rsid w:val="294228F6"/>
    <w:rsid w:val="2954117E"/>
    <w:rsid w:val="295B0F1F"/>
    <w:rsid w:val="295B72FD"/>
    <w:rsid w:val="296854E7"/>
    <w:rsid w:val="296D615D"/>
    <w:rsid w:val="296E145D"/>
    <w:rsid w:val="29703F71"/>
    <w:rsid w:val="29705FD0"/>
    <w:rsid w:val="297A51BC"/>
    <w:rsid w:val="298D58DE"/>
    <w:rsid w:val="299D603F"/>
    <w:rsid w:val="29A9096D"/>
    <w:rsid w:val="29C80DF2"/>
    <w:rsid w:val="29CE7AEA"/>
    <w:rsid w:val="29D2154B"/>
    <w:rsid w:val="29EA7C93"/>
    <w:rsid w:val="29F00071"/>
    <w:rsid w:val="29F31B60"/>
    <w:rsid w:val="29FD3CFC"/>
    <w:rsid w:val="29FF2DEE"/>
    <w:rsid w:val="2A010675"/>
    <w:rsid w:val="2A0555DF"/>
    <w:rsid w:val="2A074829"/>
    <w:rsid w:val="2A0D4741"/>
    <w:rsid w:val="2A164EBF"/>
    <w:rsid w:val="2A1F294B"/>
    <w:rsid w:val="2A203DF6"/>
    <w:rsid w:val="2A397752"/>
    <w:rsid w:val="2A3D2220"/>
    <w:rsid w:val="2A460ABD"/>
    <w:rsid w:val="2A483EE6"/>
    <w:rsid w:val="2A55053C"/>
    <w:rsid w:val="2A612E01"/>
    <w:rsid w:val="2A6625BB"/>
    <w:rsid w:val="2A69502D"/>
    <w:rsid w:val="2A6F665D"/>
    <w:rsid w:val="2A7B1A6A"/>
    <w:rsid w:val="2A955755"/>
    <w:rsid w:val="2AA71F23"/>
    <w:rsid w:val="2AA824F5"/>
    <w:rsid w:val="2AAC31F0"/>
    <w:rsid w:val="2AAF4827"/>
    <w:rsid w:val="2AB17574"/>
    <w:rsid w:val="2AB87157"/>
    <w:rsid w:val="2ABA6525"/>
    <w:rsid w:val="2ACD11D1"/>
    <w:rsid w:val="2AD212BC"/>
    <w:rsid w:val="2AD35375"/>
    <w:rsid w:val="2AE62A58"/>
    <w:rsid w:val="2AF81ECB"/>
    <w:rsid w:val="2AF87E90"/>
    <w:rsid w:val="2AFF1DEE"/>
    <w:rsid w:val="2B030144"/>
    <w:rsid w:val="2B0C1692"/>
    <w:rsid w:val="2B0E023E"/>
    <w:rsid w:val="2B0F327D"/>
    <w:rsid w:val="2B181E15"/>
    <w:rsid w:val="2B1D5E9C"/>
    <w:rsid w:val="2B1F7E02"/>
    <w:rsid w:val="2B243409"/>
    <w:rsid w:val="2B275FA7"/>
    <w:rsid w:val="2B310AA4"/>
    <w:rsid w:val="2B34404C"/>
    <w:rsid w:val="2B415AEC"/>
    <w:rsid w:val="2B492D37"/>
    <w:rsid w:val="2B503BE9"/>
    <w:rsid w:val="2B512E76"/>
    <w:rsid w:val="2B554BD0"/>
    <w:rsid w:val="2B5D4286"/>
    <w:rsid w:val="2B620075"/>
    <w:rsid w:val="2B622D11"/>
    <w:rsid w:val="2B6241D0"/>
    <w:rsid w:val="2B6635C4"/>
    <w:rsid w:val="2B7327A0"/>
    <w:rsid w:val="2B7B3555"/>
    <w:rsid w:val="2B920191"/>
    <w:rsid w:val="2B985EDD"/>
    <w:rsid w:val="2BA16E17"/>
    <w:rsid w:val="2BA57E72"/>
    <w:rsid w:val="2BA63509"/>
    <w:rsid w:val="2BAD07D7"/>
    <w:rsid w:val="2BAF05DC"/>
    <w:rsid w:val="2BBC1803"/>
    <w:rsid w:val="2BC37AF5"/>
    <w:rsid w:val="2BCA2615"/>
    <w:rsid w:val="2BCD5BB3"/>
    <w:rsid w:val="2BCE12ED"/>
    <w:rsid w:val="2BCE5522"/>
    <w:rsid w:val="2BD348BC"/>
    <w:rsid w:val="2BE36359"/>
    <w:rsid w:val="2BEA35FC"/>
    <w:rsid w:val="2BFB0B13"/>
    <w:rsid w:val="2C1667E2"/>
    <w:rsid w:val="2C230952"/>
    <w:rsid w:val="2C235F5A"/>
    <w:rsid w:val="2C2F33CF"/>
    <w:rsid w:val="2C343D09"/>
    <w:rsid w:val="2C576BEC"/>
    <w:rsid w:val="2C5E5584"/>
    <w:rsid w:val="2C686023"/>
    <w:rsid w:val="2C6C33C4"/>
    <w:rsid w:val="2C757714"/>
    <w:rsid w:val="2C7D09EA"/>
    <w:rsid w:val="2C824963"/>
    <w:rsid w:val="2C8766FB"/>
    <w:rsid w:val="2C8A06AB"/>
    <w:rsid w:val="2C907E61"/>
    <w:rsid w:val="2C9265BF"/>
    <w:rsid w:val="2C9B65C3"/>
    <w:rsid w:val="2CB1729E"/>
    <w:rsid w:val="2CB266D0"/>
    <w:rsid w:val="2CBD7757"/>
    <w:rsid w:val="2CBF276C"/>
    <w:rsid w:val="2CC44E07"/>
    <w:rsid w:val="2CC569CB"/>
    <w:rsid w:val="2CC74803"/>
    <w:rsid w:val="2CCE1CF6"/>
    <w:rsid w:val="2CCE41BC"/>
    <w:rsid w:val="2CEB5CD0"/>
    <w:rsid w:val="2CFF043F"/>
    <w:rsid w:val="2D131CAD"/>
    <w:rsid w:val="2D1929EF"/>
    <w:rsid w:val="2D1E36F5"/>
    <w:rsid w:val="2D2E00AD"/>
    <w:rsid w:val="2D317FAA"/>
    <w:rsid w:val="2D39472D"/>
    <w:rsid w:val="2D41402F"/>
    <w:rsid w:val="2D47247F"/>
    <w:rsid w:val="2D4C0E52"/>
    <w:rsid w:val="2D4C5395"/>
    <w:rsid w:val="2D533456"/>
    <w:rsid w:val="2D5809C0"/>
    <w:rsid w:val="2D614A43"/>
    <w:rsid w:val="2D623805"/>
    <w:rsid w:val="2D6D3CA2"/>
    <w:rsid w:val="2D781D43"/>
    <w:rsid w:val="2D7D7121"/>
    <w:rsid w:val="2D854A69"/>
    <w:rsid w:val="2DA74F81"/>
    <w:rsid w:val="2DAB42E1"/>
    <w:rsid w:val="2DB26597"/>
    <w:rsid w:val="2DB5614E"/>
    <w:rsid w:val="2DCB194C"/>
    <w:rsid w:val="2DD66EDF"/>
    <w:rsid w:val="2DDF642E"/>
    <w:rsid w:val="2DE32A97"/>
    <w:rsid w:val="2DE7057C"/>
    <w:rsid w:val="2DF5640C"/>
    <w:rsid w:val="2DF635D7"/>
    <w:rsid w:val="2DF73C08"/>
    <w:rsid w:val="2E056DE4"/>
    <w:rsid w:val="2E066EF7"/>
    <w:rsid w:val="2E0901D2"/>
    <w:rsid w:val="2E203718"/>
    <w:rsid w:val="2E234CF1"/>
    <w:rsid w:val="2E2746AE"/>
    <w:rsid w:val="2E2C6D07"/>
    <w:rsid w:val="2E2F6083"/>
    <w:rsid w:val="2E454D2B"/>
    <w:rsid w:val="2E572CC0"/>
    <w:rsid w:val="2E5863B2"/>
    <w:rsid w:val="2EA13F74"/>
    <w:rsid w:val="2EB005F7"/>
    <w:rsid w:val="2EB14523"/>
    <w:rsid w:val="2EB5032D"/>
    <w:rsid w:val="2ED1282B"/>
    <w:rsid w:val="2ED42187"/>
    <w:rsid w:val="2EDB1B05"/>
    <w:rsid w:val="2EDE6E27"/>
    <w:rsid w:val="2EDF0895"/>
    <w:rsid w:val="2EE124DD"/>
    <w:rsid w:val="2EE32FFB"/>
    <w:rsid w:val="2EE70CD5"/>
    <w:rsid w:val="2EEF4A6B"/>
    <w:rsid w:val="2F016955"/>
    <w:rsid w:val="2F0D112B"/>
    <w:rsid w:val="2F387483"/>
    <w:rsid w:val="2F3A54E2"/>
    <w:rsid w:val="2F413369"/>
    <w:rsid w:val="2F4F5EEC"/>
    <w:rsid w:val="2F525F81"/>
    <w:rsid w:val="2F5551FE"/>
    <w:rsid w:val="2F6126A2"/>
    <w:rsid w:val="2F629FB7"/>
    <w:rsid w:val="2F635CF8"/>
    <w:rsid w:val="2F657E18"/>
    <w:rsid w:val="2F6F1349"/>
    <w:rsid w:val="2F7F3437"/>
    <w:rsid w:val="2F7FB034"/>
    <w:rsid w:val="2F817DD0"/>
    <w:rsid w:val="2F825648"/>
    <w:rsid w:val="2F8B1796"/>
    <w:rsid w:val="2F9B6578"/>
    <w:rsid w:val="2F9F4AF8"/>
    <w:rsid w:val="2FAB7AE6"/>
    <w:rsid w:val="2FB24D52"/>
    <w:rsid w:val="2FBF40B8"/>
    <w:rsid w:val="2FD04C09"/>
    <w:rsid w:val="2FD70B71"/>
    <w:rsid w:val="2FD804D0"/>
    <w:rsid w:val="2FF51385"/>
    <w:rsid w:val="2FF714B8"/>
    <w:rsid w:val="2FF79711"/>
    <w:rsid w:val="2FFE0E4A"/>
    <w:rsid w:val="30032FEE"/>
    <w:rsid w:val="300635B2"/>
    <w:rsid w:val="300D11EE"/>
    <w:rsid w:val="30214C7E"/>
    <w:rsid w:val="302F6ADD"/>
    <w:rsid w:val="3042487F"/>
    <w:rsid w:val="304D5D1A"/>
    <w:rsid w:val="304F6507"/>
    <w:rsid w:val="305B6E73"/>
    <w:rsid w:val="305E79BD"/>
    <w:rsid w:val="30624751"/>
    <w:rsid w:val="3081657F"/>
    <w:rsid w:val="308510AC"/>
    <w:rsid w:val="308534A0"/>
    <w:rsid w:val="309E55A3"/>
    <w:rsid w:val="30A64A4F"/>
    <w:rsid w:val="30B31354"/>
    <w:rsid w:val="30B31546"/>
    <w:rsid w:val="30D51325"/>
    <w:rsid w:val="30D82940"/>
    <w:rsid w:val="30DC47F8"/>
    <w:rsid w:val="30E92225"/>
    <w:rsid w:val="30F00D6B"/>
    <w:rsid w:val="30F91599"/>
    <w:rsid w:val="30FD18B7"/>
    <w:rsid w:val="31073C5C"/>
    <w:rsid w:val="31223AD7"/>
    <w:rsid w:val="312F75C1"/>
    <w:rsid w:val="31366F42"/>
    <w:rsid w:val="313C7BC6"/>
    <w:rsid w:val="317B6247"/>
    <w:rsid w:val="3184584E"/>
    <w:rsid w:val="31890AFA"/>
    <w:rsid w:val="31942C78"/>
    <w:rsid w:val="31B575A2"/>
    <w:rsid w:val="31C94BC3"/>
    <w:rsid w:val="31E159BF"/>
    <w:rsid w:val="31E31A45"/>
    <w:rsid w:val="31EE1B5E"/>
    <w:rsid w:val="31F95C2B"/>
    <w:rsid w:val="321A4818"/>
    <w:rsid w:val="321D0095"/>
    <w:rsid w:val="321D6B3D"/>
    <w:rsid w:val="32270B61"/>
    <w:rsid w:val="32286936"/>
    <w:rsid w:val="323B4545"/>
    <w:rsid w:val="323E51C2"/>
    <w:rsid w:val="32443AC2"/>
    <w:rsid w:val="32563927"/>
    <w:rsid w:val="32582FD9"/>
    <w:rsid w:val="326052C1"/>
    <w:rsid w:val="32644F9E"/>
    <w:rsid w:val="326B0BAF"/>
    <w:rsid w:val="32764D1D"/>
    <w:rsid w:val="32844B47"/>
    <w:rsid w:val="3288180B"/>
    <w:rsid w:val="329B4A67"/>
    <w:rsid w:val="32AC064F"/>
    <w:rsid w:val="32D23AA1"/>
    <w:rsid w:val="32E7237C"/>
    <w:rsid w:val="32FA4E00"/>
    <w:rsid w:val="33097FCB"/>
    <w:rsid w:val="330F07F9"/>
    <w:rsid w:val="331E1AA2"/>
    <w:rsid w:val="33230960"/>
    <w:rsid w:val="33236153"/>
    <w:rsid w:val="3325361E"/>
    <w:rsid w:val="332C6DB4"/>
    <w:rsid w:val="333971B7"/>
    <w:rsid w:val="33407A22"/>
    <w:rsid w:val="3343097A"/>
    <w:rsid w:val="33684AED"/>
    <w:rsid w:val="33753B52"/>
    <w:rsid w:val="337E5775"/>
    <w:rsid w:val="33AF031D"/>
    <w:rsid w:val="33BC761E"/>
    <w:rsid w:val="33BF6CBC"/>
    <w:rsid w:val="33D14D3D"/>
    <w:rsid w:val="33D2644C"/>
    <w:rsid w:val="33D81A4C"/>
    <w:rsid w:val="33DF4467"/>
    <w:rsid w:val="33FC5728"/>
    <w:rsid w:val="340636B9"/>
    <w:rsid w:val="34086B9E"/>
    <w:rsid w:val="3424694F"/>
    <w:rsid w:val="342F6D32"/>
    <w:rsid w:val="3443369C"/>
    <w:rsid w:val="34516FC2"/>
    <w:rsid w:val="34555684"/>
    <w:rsid w:val="345E624E"/>
    <w:rsid w:val="34603A1E"/>
    <w:rsid w:val="34660FB4"/>
    <w:rsid w:val="346F196C"/>
    <w:rsid w:val="34921202"/>
    <w:rsid w:val="34A01296"/>
    <w:rsid w:val="34A72BC4"/>
    <w:rsid w:val="34AD636D"/>
    <w:rsid w:val="34D35AEF"/>
    <w:rsid w:val="34D37972"/>
    <w:rsid w:val="34D6123A"/>
    <w:rsid w:val="34ED7908"/>
    <w:rsid w:val="34F2252E"/>
    <w:rsid w:val="34F76022"/>
    <w:rsid w:val="35027278"/>
    <w:rsid w:val="350634D3"/>
    <w:rsid w:val="35117A4E"/>
    <w:rsid w:val="35194A87"/>
    <w:rsid w:val="35200F8A"/>
    <w:rsid w:val="352C21B2"/>
    <w:rsid w:val="353D699B"/>
    <w:rsid w:val="35441378"/>
    <w:rsid w:val="354C204D"/>
    <w:rsid w:val="35533710"/>
    <w:rsid w:val="35616185"/>
    <w:rsid w:val="356C7D73"/>
    <w:rsid w:val="357E1639"/>
    <w:rsid w:val="35834702"/>
    <w:rsid w:val="35952CEE"/>
    <w:rsid w:val="35A437E8"/>
    <w:rsid w:val="35AF1A13"/>
    <w:rsid w:val="35B64FD1"/>
    <w:rsid w:val="35BD4078"/>
    <w:rsid w:val="35CE48BF"/>
    <w:rsid w:val="35CF7093"/>
    <w:rsid w:val="35D3331D"/>
    <w:rsid w:val="35DF58BF"/>
    <w:rsid w:val="35E4076D"/>
    <w:rsid w:val="35E8647A"/>
    <w:rsid w:val="35F20EA6"/>
    <w:rsid w:val="35F36637"/>
    <w:rsid w:val="35F66BBA"/>
    <w:rsid w:val="360252AE"/>
    <w:rsid w:val="36187E47"/>
    <w:rsid w:val="36216BEE"/>
    <w:rsid w:val="36285816"/>
    <w:rsid w:val="362A457F"/>
    <w:rsid w:val="362B4D6E"/>
    <w:rsid w:val="362C2535"/>
    <w:rsid w:val="36404B8B"/>
    <w:rsid w:val="36471A5E"/>
    <w:rsid w:val="364931EB"/>
    <w:rsid w:val="3667341B"/>
    <w:rsid w:val="36751470"/>
    <w:rsid w:val="36887E64"/>
    <w:rsid w:val="368A2FB4"/>
    <w:rsid w:val="36961ED1"/>
    <w:rsid w:val="36A15210"/>
    <w:rsid w:val="36AB4006"/>
    <w:rsid w:val="36AC17C1"/>
    <w:rsid w:val="36BA5016"/>
    <w:rsid w:val="36BE2266"/>
    <w:rsid w:val="36C02FF5"/>
    <w:rsid w:val="36C8525D"/>
    <w:rsid w:val="36CE2B8B"/>
    <w:rsid w:val="36DA5D27"/>
    <w:rsid w:val="36EE176D"/>
    <w:rsid w:val="36F4518E"/>
    <w:rsid w:val="36FE1089"/>
    <w:rsid w:val="370214AD"/>
    <w:rsid w:val="37036FE3"/>
    <w:rsid w:val="370749B6"/>
    <w:rsid w:val="37100355"/>
    <w:rsid w:val="37113004"/>
    <w:rsid w:val="371D628A"/>
    <w:rsid w:val="371F66C4"/>
    <w:rsid w:val="3723798B"/>
    <w:rsid w:val="3729092C"/>
    <w:rsid w:val="372A115D"/>
    <w:rsid w:val="372A6492"/>
    <w:rsid w:val="37342B76"/>
    <w:rsid w:val="373569A8"/>
    <w:rsid w:val="373A2E6A"/>
    <w:rsid w:val="3768698D"/>
    <w:rsid w:val="37714675"/>
    <w:rsid w:val="37740120"/>
    <w:rsid w:val="377B1BC4"/>
    <w:rsid w:val="377F9522"/>
    <w:rsid w:val="37821EF8"/>
    <w:rsid w:val="37866BB7"/>
    <w:rsid w:val="378A7959"/>
    <w:rsid w:val="379151F3"/>
    <w:rsid w:val="3792524B"/>
    <w:rsid w:val="37940C52"/>
    <w:rsid w:val="37A30873"/>
    <w:rsid w:val="37A82E6A"/>
    <w:rsid w:val="37AD2BE0"/>
    <w:rsid w:val="37B205EE"/>
    <w:rsid w:val="37C04076"/>
    <w:rsid w:val="37CB48C8"/>
    <w:rsid w:val="37D42753"/>
    <w:rsid w:val="37EB7EF5"/>
    <w:rsid w:val="37FB0B3E"/>
    <w:rsid w:val="37FD2F87"/>
    <w:rsid w:val="37FDC4B0"/>
    <w:rsid w:val="38013423"/>
    <w:rsid w:val="38192543"/>
    <w:rsid w:val="381B47D0"/>
    <w:rsid w:val="38274ABD"/>
    <w:rsid w:val="382D1422"/>
    <w:rsid w:val="382D2E19"/>
    <w:rsid w:val="383057ED"/>
    <w:rsid w:val="38350C02"/>
    <w:rsid w:val="383651A6"/>
    <w:rsid w:val="384E6F01"/>
    <w:rsid w:val="385E3236"/>
    <w:rsid w:val="38766C47"/>
    <w:rsid w:val="387768D1"/>
    <w:rsid w:val="3887059F"/>
    <w:rsid w:val="38880168"/>
    <w:rsid w:val="388B355E"/>
    <w:rsid w:val="388F0D9F"/>
    <w:rsid w:val="38922097"/>
    <w:rsid w:val="38CC185A"/>
    <w:rsid w:val="38D233FA"/>
    <w:rsid w:val="38D43BCE"/>
    <w:rsid w:val="38D5234B"/>
    <w:rsid w:val="38D5710F"/>
    <w:rsid w:val="38EA64E4"/>
    <w:rsid w:val="38FA0464"/>
    <w:rsid w:val="38FF192C"/>
    <w:rsid w:val="39145CDB"/>
    <w:rsid w:val="391C4E68"/>
    <w:rsid w:val="3941699F"/>
    <w:rsid w:val="39464659"/>
    <w:rsid w:val="39563559"/>
    <w:rsid w:val="39570EDE"/>
    <w:rsid w:val="395B167E"/>
    <w:rsid w:val="39615265"/>
    <w:rsid w:val="39656815"/>
    <w:rsid w:val="397D6F73"/>
    <w:rsid w:val="39802ECC"/>
    <w:rsid w:val="39824946"/>
    <w:rsid w:val="39865E81"/>
    <w:rsid w:val="3990522A"/>
    <w:rsid w:val="39926E4B"/>
    <w:rsid w:val="39944C4D"/>
    <w:rsid w:val="399C28A8"/>
    <w:rsid w:val="39A05B03"/>
    <w:rsid w:val="39AD28F1"/>
    <w:rsid w:val="39B02129"/>
    <w:rsid w:val="39B8558E"/>
    <w:rsid w:val="39BC6F23"/>
    <w:rsid w:val="39BD345B"/>
    <w:rsid w:val="39CA6436"/>
    <w:rsid w:val="39E139DA"/>
    <w:rsid w:val="39F2E4B5"/>
    <w:rsid w:val="39FD1B1B"/>
    <w:rsid w:val="3A1320A7"/>
    <w:rsid w:val="3A1530F4"/>
    <w:rsid w:val="3A191CC0"/>
    <w:rsid w:val="3A1A3080"/>
    <w:rsid w:val="3A2B5CE1"/>
    <w:rsid w:val="3A2D2D36"/>
    <w:rsid w:val="3A542EE1"/>
    <w:rsid w:val="3A5C1538"/>
    <w:rsid w:val="3A5D61D4"/>
    <w:rsid w:val="3A6F23F7"/>
    <w:rsid w:val="3A761F09"/>
    <w:rsid w:val="3A7E466F"/>
    <w:rsid w:val="3A8A0C83"/>
    <w:rsid w:val="3A904241"/>
    <w:rsid w:val="3A95462C"/>
    <w:rsid w:val="3A9F07F2"/>
    <w:rsid w:val="3AA3573F"/>
    <w:rsid w:val="3AB51559"/>
    <w:rsid w:val="3AB80274"/>
    <w:rsid w:val="3AD445AD"/>
    <w:rsid w:val="3AD86362"/>
    <w:rsid w:val="3AE801A7"/>
    <w:rsid w:val="3AEE6745"/>
    <w:rsid w:val="3AF34940"/>
    <w:rsid w:val="3AF51000"/>
    <w:rsid w:val="3AF84B31"/>
    <w:rsid w:val="3B156E12"/>
    <w:rsid w:val="3B170047"/>
    <w:rsid w:val="3B1834CA"/>
    <w:rsid w:val="3B1923BC"/>
    <w:rsid w:val="3B1E24C8"/>
    <w:rsid w:val="3B206ED8"/>
    <w:rsid w:val="3B2D1C76"/>
    <w:rsid w:val="3B2F38BD"/>
    <w:rsid w:val="3B2F57EB"/>
    <w:rsid w:val="3B33288C"/>
    <w:rsid w:val="3B3A1E8F"/>
    <w:rsid w:val="3B3F739A"/>
    <w:rsid w:val="3B437BA1"/>
    <w:rsid w:val="3B6B49ED"/>
    <w:rsid w:val="3B753374"/>
    <w:rsid w:val="3B762EC6"/>
    <w:rsid w:val="3B791F2E"/>
    <w:rsid w:val="3B79750B"/>
    <w:rsid w:val="3B7B29BE"/>
    <w:rsid w:val="3B7D3926"/>
    <w:rsid w:val="3B84617D"/>
    <w:rsid w:val="3B8B309C"/>
    <w:rsid w:val="3BB723BA"/>
    <w:rsid w:val="3BBA3AFF"/>
    <w:rsid w:val="3BBFC5BA"/>
    <w:rsid w:val="3BCA1F1C"/>
    <w:rsid w:val="3BCC13D8"/>
    <w:rsid w:val="3BD8133A"/>
    <w:rsid w:val="3BD820FE"/>
    <w:rsid w:val="3BD96DAD"/>
    <w:rsid w:val="3BDC7821"/>
    <w:rsid w:val="3BEB58D7"/>
    <w:rsid w:val="3BEB623F"/>
    <w:rsid w:val="3BF8706E"/>
    <w:rsid w:val="3BF94F40"/>
    <w:rsid w:val="3BFE0325"/>
    <w:rsid w:val="3C0700C2"/>
    <w:rsid w:val="3C19096E"/>
    <w:rsid w:val="3C1C0639"/>
    <w:rsid w:val="3C2E346D"/>
    <w:rsid w:val="3C300658"/>
    <w:rsid w:val="3C346B7B"/>
    <w:rsid w:val="3C3B425B"/>
    <w:rsid w:val="3C482649"/>
    <w:rsid w:val="3C543122"/>
    <w:rsid w:val="3C620A5E"/>
    <w:rsid w:val="3C6541EF"/>
    <w:rsid w:val="3C6C3E08"/>
    <w:rsid w:val="3C6E47E3"/>
    <w:rsid w:val="3C744B26"/>
    <w:rsid w:val="3C774E66"/>
    <w:rsid w:val="3C816E1B"/>
    <w:rsid w:val="3C831660"/>
    <w:rsid w:val="3CBC4692"/>
    <w:rsid w:val="3CDC4055"/>
    <w:rsid w:val="3CDD5498"/>
    <w:rsid w:val="3CEA0930"/>
    <w:rsid w:val="3CF27B95"/>
    <w:rsid w:val="3CFF5A50"/>
    <w:rsid w:val="3D066B35"/>
    <w:rsid w:val="3D106EB6"/>
    <w:rsid w:val="3D1C0B24"/>
    <w:rsid w:val="3D281E46"/>
    <w:rsid w:val="3D3C210D"/>
    <w:rsid w:val="3D575AE9"/>
    <w:rsid w:val="3D5A3B41"/>
    <w:rsid w:val="3D5F5D82"/>
    <w:rsid w:val="3D60278F"/>
    <w:rsid w:val="3D6636D8"/>
    <w:rsid w:val="3D676FE6"/>
    <w:rsid w:val="3D734688"/>
    <w:rsid w:val="3D7D68E8"/>
    <w:rsid w:val="3D816473"/>
    <w:rsid w:val="3D924D76"/>
    <w:rsid w:val="3D936176"/>
    <w:rsid w:val="3DA605F1"/>
    <w:rsid w:val="3DB624D6"/>
    <w:rsid w:val="3DC96A91"/>
    <w:rsid w:val="3DCA962E"/>
    <w:rsid w:val="3DCE4212"/>
    <w:rsid w:val="3DD44227"/>
    <w:rsid w:val="3DD9B7B7"/>
    <w:rsid w:val="3DDB5ABD"/>
    <w:rsid w:val="3DE50A71"/>
    <w:rsid w:val="3DE64D3F"/>
    <w:rsid w:val="3DEF682D"/>
    <w:rsid w:val="3DF15DDC"/>
    <w:rsid w:val="3DF43ED5"/>
    <w:rsid w:val="3E0B107A"/>
    <w:rsid w:val="3E1D3429"/>
    <w:rsid w:val="3E297137"/>
    <w:rsid w:val="3E4B5902"/>
    <w:rsid w:val="3E5E47FF"/>
    <w:rsid w:val="3E620DC8"/>
    <w:rsid w:val="3E650593"/>
    <w:rsid w:val="3E684068"/>
    <w:rsid w:val="3E7F51AE"/>
    <w:rsid w:val="3E895706"/>
    <w:rsid w:val="3E9111B3"/>
    <w:rsid w:val="3EA25B10"/>
    <w:rsid w:val="3EA41BA5"/>
    <w:rsid w:val="3EA9033A"/>
    <w:rsid w:val="3EAF72E4"/>
    <w:rsid w:val="3EB3388D"/>
    <w:rsid w:val="3EC25BCA"/>
    <w:rsid w:val="3F0455DD"/>
    <w:rsid w:val="3F075FB1"/>
    <w:rsid w:val="3F1074D7"/>
    <w:rsid w:val="3F21691D"/>
    <w:rsid w:val="3F227F5D"/>
    <w:rsid w:val="3F257466"/>
    <w:rsid w:val="3F26543B"/>
    <w:rsid w:val="3F294E7F"/>
    <w:rsid w:val="3F2F5A8C"/>
    <w:rsid w:val="3F337273"/>
    <w:rsid w:val="3F412DEC"/>
    <w:rsid w:val="3F425D2C"/>
    <w:rsid w:val="3F4C161E"/>
    <w:rsid w:val="3F4FAA98"/>
    <w:rsid w:val="3F5771E6"/>
    <w:rsid w:val="3F5B19BB"/>
    <w:rsid w:val="3F611D6B"/>
    <w:rsid w:val="3F674097"/>
    <w:rsid w:val="3F6B0F2F"/>
    <w:rsid w:val="3F6E7226"/>
    <w:rsid w:val="3F7237DC"/>
    <w:rsid w:val="3F7418AC"/>
    <w:rsid w:val="3F74A015"/>
    <w:rsid w:val="3F7B467C"/>
    <w:rsid w:val="3F7F4BFD"/>
    <w:rsid w:val="3F8534F2"/>
    <w:rsid w:val="3F8D44E0"/>
    <w:rsid w:val="3F8D6CDE"/>
    <w:rsid w:val="3F9C3E7C"/>
    <w:rsid w:val="3FB37803"/>
    <w:rsid w:val="3FBC25B0"/>
    <w:rsid w:val="3FBE27AD"/>
    <w:rsid w:val="3FC15165"/>
    <w:rsid w:val="3FD214BD"/>
    <w:rsid w:val="3FEB0F5D"/>
    <w:rsid w:val="3FED37A2"/>
    <w:rsid w:val="3FF76865"/>
    <w:rsid w:val="40097753"/>
    <w:rsid w:val="400A538D"/>
    <w:rsid w:val="401041CC"/>
    <w:rsid w:val="401C0644"/>
    <w:rsid w:val="40227766"/>
    <w:rsid w:val="40280A20"/>
    <w:rsid w:val="40377291"/>
    <w:rsid w:val="40385090"/>
    <w:rsid w:val="403D4075"/>
    <w:rsid w:val="40562B90"/>
    <w:rsid w:val="40581609"/>
    <w:rsid w:val="4062552B"/>
    <w:rsid w:val="40762F0A"/>
    <w:rsid w:val="40765E8A"/>
    <w:rsid w:val="407E10BA"/>
    <w:rsid w:val="407E641B"/>
    <w:rsid w:val="40825976"/>
    <w:rsid w:val="4084632A"/>
    <w:rsid w:val="40977EEA"/>
    <w:rsid w:val="40BE000B"/>
    <w:rsid w:val="40D00C0D"/>
    <w:rsid w:val="40D14D78"/>
    <w:rsid w:val="40EC441D"/>
    <w:rsid w:val="40F044C9"/>
    <w:rsid w:val="40F20E51"/>
    <w:rsid w:val="40FA7AE5"/>
    <w:rsid w:val="411541DA"/>
    <w:rsid w:val="41180D6F"/>
    <w:rsid w:val="41371FE0"/>
    <w:rsid w:val="415C087D"/>
    <w:rsid w:val="41745FFF"/>
    <w:rsid w:val="41774FCB"/>
    <w:rsid w:val="41810899"/>
    <w:rsid w:val="4181283B"/>
    <w:rsid w:val="418271DC"/>
    <w:rsid w:val="418A0B5C"/>
    <w:rsid w:val="418A4C26"/>
    <w:rsid w:val="418F3541"/>
    <w:rsid w:val="418F74C9"/>
    <w:rsid w:val="41901674"/>
    <w:rsid w:val="419874B5"/>
    <w:rsid w:val="419B3BAC"/>
    <w:rsid w:val="41A20EE7"/>
    <w:rsid w:val="41A25E41"/>
    <w:rsid w:val="41B353F1"/>
    <w:rsid w:val="41B72FBB"/>
    <w:rsid w:val="41BB72F2"/>
    <w:rsid w:val="41C5567C"/>
    <w:rsid w:val="41C94A4A"/>
    <w:rsid w:val="41D4344D"/>
    <w:rsid w:val="41D66F44"/>
    <w:rsid w:val="41D855AF"/>
    <w:rsid w:val="41DB1CF1"/>
    <w:rsid w:val="41DF07EE"/>
    <w:rsid w:val="41E33215"/>
    <w:rsid w:val="41EE0902"/>
    <w:rsid w:val="420D6792"/>
    <w:rsid w:val="42126EA7"/>
    <w:rsid w:val="4220489C"/>
    <w:rsid w:val="423135E7"/>
    <w:rsid w:val="424832DC"/>
    <w:rsid w:val="425C5BCE"/>
    <w:rsid w:val="42605FC7"/>
    <w:rsid w:val="427E1411"/>
    <w:rsid w:val="427E1440"/>
    <w:rsid w:val="42904B06"/>
    <w:rsid w:val="429D0824"/>
    <w:rsid w:val="42A97915"/>
    <w:rsid w:val="42AB5919"/>
    <w:rsid w:val="42AF6E21"/>
    <w:rsid w:val="42B61D72"/>
    <w:rsid w:val="42B95478"/>
    <w:rsid w:val="42BC2E3B"/>
    <w:rsid w:val="42D21379"/>
    <w:rsid w:val="42EC5ED5"/>
    <w:rsid w:val="42F35F7E"/>
    <w:rsid w:val="4304205B"/>
    <w:rsid w:val="430E6D0F"/>
    <w:rsid w:val="430F7CB1"/>
    <w:rsid w:val="432056C4"/>
    <w:rsid w:val="43386CA4"/>
    <w:rsid w:val="433D333A"/>
    <w:rsid w:val="43422211"/>
    <w:rsid w:val="4343018D"/>
    <w:rsid w:val="4348461B"/>
    <w:rsid w:val="434C4375"/>
    <w:rsid w:val="434E3D91"/>
    <w:rsid w:val="435254D0"/>
    <w:rsid w:val="435E3F9C"/>
    <w:rsid w:val="43605D67"/>
    <w:rsid w:val="436647E4"/>
    <w:rsid w:val="43675D4E"/>
    <w:rsid w:val="436E31A2"/>
    <w:rsid w:val="436E6A85"/>
    <w:rsid w:val="43734CB5"/>
    <w:rsid w:val="437A63B2"/>
    <w:rsid w:val="437B77B4"/>
    <w:rsid w:val="437C1845"/>
    <w:rsid w:val="437C39D2"/>
    <w:rsid w:val="438863EE"/>
    <w:rsid w:val="43A6091D"/>
    <w:rsid w:val="43A94C99"/>
    <w:rsid w:val="43AD047C"/>
    <w:rsid w:val="43B93CA1"/>
    <w:rsid w:val="43C67195"/>
    <w:rsid w:val="43C96CC1"/>
    <w:rsid w:val="43D95A5E"/>
    <w:rsid w:val="43DB681A"/>
    <w:rsid w:val="43DB695D"/>
    <w:rsid w:val="43E66B2A"/>
    <w:rsid w:val="43EF7DF5"/>
    <w:rsid w:val="43F75428"/>
    <w:rsid w:val="44062A2A"/>
    <w:rsid w:val="44064D7F"/>
    <w:rsid w:val="440F21F4"/>
    <w:rsid w:val="440F23A5"/>
    <w:rsid w:val="441B2788"/>
    <w:rsid w:val="44312509"/>
    <w:rsid w:val="44353309"/>
    <w:rsid w:val="443D5C83"/>
    <w:rsid w:val="443E6111"/>
    <w:rsid w:val="444112B7"/>
    <w:rsid w:val="4445734B"/>
    <w:rsid w:val="44486DE6"/>
    <w:rsid w:val="444F43EE"/>
    <w:rsid w:val="446270C6"/>
    <w:rsid w:val="44704880"/>
    <w:rsid w:val="447670D1"/>
    <w:rsid w:val="4477366C"/>
    <w:rsid w:val="447B38D0"/>
    <w:rsid w:val="448F0A9C"/>
    <w:rsid w:val="44970B52"/>
    <w:rsid w:val="449A2D31"/>
    <w:rsid w:val="449A2DDB"/>
    <w:rsid w:val="449A7C89"/>
    <w:rsid w:val="44A311E8"/>
    <w:rsid w:val="44A43AD2"/>
    <w:rsid w:val="44B00AD5"/>
    <w:rsid w:val="44C0317F"/>
    <w:rsid w:val="44CA33E5"/>
    <w:rsid w:val="44CA44C7"/>
    <w:rsid w:val="44CB2B24"/>
    <w:rsid w:val="44CC6B71"/>
    <w:rsid w:val="44D2188E"/>
    <w:rsid w:val="44DB63C4"/>
    <w:rsid w:val="44E0427D"/>
    <w:rsid w:val="44E63F80"/>
    <w:rsid w:val="44F26631"/>
    <w:rsid w:val="44FF12D4"/>
    <w:rsid w:val="4505615F"/>
    <w:rsid w:val="45195E19"/>
    <w:rsid w:val="451A08D6"/>
    <w:rsid w:val="451A4504"/>
    <w:rsid w:val="45216D6E"/>
    <w:rsid w:val="452D74DE"/>
    <w:rsid w:val="45444294"/>
    <w:rsid w:val="454E526B"/>
    <w:rsid w:val="45741404"/>
    <w:rsid w:val="4576199B"/>
    <w:rsid w:val="457D00B8"/>
    <w:rsid w:val="457F625C"/>
    <w:rsid w:val="45800E6C"/>
    <w:rsid w:val="45820B72"/>
    <w:rsid w:val="458379B3"/>
    <w:rsid w:val="459B604C"/>
    <w:rsid w:val="459F5856"/>
    <w:rsid w:val="45BB2BD6"/>
    <w:rsid w:val="45BC2771"/>
    <w:rsid w:val="45C86013"/>
    <w:rsid w:val="45CD3D41"/>
    <w:rsid w:val="45DE78CC"/>
    <w:rsid w:val="45E16D57"/>
    <w:rsid w:val="45E83918"/>
    <w:rsid w:val="45F524BA"/>
    <w:rsid w:val="45F85B25"/>
    <w:rsid w:val="45FA5BAF"/>
    <w:rsid w:val="45FD1EC4"/>
    <w:rsid w:val="46010103"/>
    <w:rsid w:val="4606415C"/>
    <w:rsid w:val="460F365D"/>
    <w:rsid w:val="4612589E"/>
    <w:rsid w:val="464C33C7"/>
    <w:rsid w:val="468D25A7"/>
    <w:rsid w:val="46A0570C"/>
    <w:rsid w:val="46A1326E"/>
    <w:rsid w:val="46A2703C"/>
    <w:rsid w:val="46AD29A2"/>
    <w:rsid w:val="46AD7BE3"/>
    <w:rsid w:val="46C07B71"/>
    <w:rsid w:val="46C97019"/>
    <w:rsid w:val="46D11B8F"/>
    <w:rsid w:val="46D202C6"/>
    <w:rsid w:val="46D77375"/>
    <w:rsid w:val="46D90F11"/>
    <w:rsid w:val="46E2491C"/>
    <w:rsid w:val="46EB4D4C"/>
    <w:rsid w:val="46F0402F"/>
    <w:rsid w:val="47005024"/>
    <w:rsid w:val="470401D6"/>
    <w:rsid w:val="470A674E"/>
    <w:rsid w:val="470E2853"/>
    <w:rsid w:val="47104182"/>
    <w:rsid w:val="47155653"/>
    <w:rsid w:val="472D0AA7"/>
    <w:rsid w:val="474C0355"/>
    <w:rsid w:val="47522E07"/>
    <w:rsid w:val="47690EAD"/>
    <w:rsid w:val="476A091A"/>
    <w:rsid w:val="476C1FD1"/>
    <w:rsid w:val="477A102B"/>
    <w:rsid w:val="477C3C9F"/>
    <w:rsid w:val="47835FD1"/>
    <w:rsid w:val="47921058"/>
    <w:rsid w:val="47980643"/>
    <w:rsid w:val="47AC64AE"/>
    <w:rsid w:val="47AE2329"/>
    <w:rsid w:val="47BA20DB"/>
    <w:rsid w:val="47CD4EBC"/>
    <w:rsid w:val="47D34EEE"/>
    <w:rsid w:val="47D70350"/>
    <w:rsid w:val="47D96A40"/>
    <w:rsid w:val="47DC4C30"/>
    <w:rsid w:val="47E528C3"/>
    <w:rsid w:val="47F851FE"/>
    <w:rsid w:val="48002186"/>
    <w:rsid w:val="48220C0B"/>
    <w:rsid w:val="48330D0B"/>
    <w:rsid w:val="483E6319"/>
    <w:rsid w:val="4844010E"/>
    <w:rsid w:val="484D70C0"/>
    <w:rsid w:val="48586A3A"/>
    <w:rsid w:val="48605603"/>
    <w:rsid w:val="48620B89"/>
    <w:rsid w:val="486322E6"/>
    <w:rsid w:val="48661300"/>
    <w:rsid w:val="4866681E"/>
    <w:rsid w:val="486D67CD"/>
    <w:rsid w:val="486D7B00"/>
    <w:rsid w:val="48803A0C"/>
    <w:rsid w:val="48834488"/>
    <w:rsid w:val="48874444"/>
    <w:rsid w:val="488E7F90"/>
    <w:rsid w:val="48931C83"/>
    <w:rsid w:val="48951164"/>
    <w:rsid w:val="4896216F"/>
    <w:rsid w:val="48A34403"/>
    <w:rsid w:val="48B61005"/>
    <w:rsid w:val="48B629D0"/>
    <w:rsid w:val="48B65743"/>
    <w:rsid w:val="48B97EB1"/>
    <w:rsid w:val="48C87C34"/>
    <w:rsid w:val="48D045E3"/>
    <w:rsid w:val="48D16CA0"/>
    <w:rsid w:val="48D64062"/>
    <w:rsid w:val="48D872F2"/>
    <w:rsid w:val="48DD7098"/>
    <w:rsid w:val="48E65A8C"/>
    <w:rsid w:val="48E873E2"/>
    <w:rsid w:val="48EB5F33"/>
    <w:rsid w:val="48EC0DCC"/>
    <w:rsid w:val="48ED21B1"/>
    <w:rsid w:val="48F56D96"/>
    <w:rsid w:val="490D334D"/>
    <w:rsid w:val="490E76AE"/>
    <w:rsid w:val="49156D12"/>
    <w:rsid w:val="4923561B"/>
    <w:rsid w:val="492A3205"/>
    <w:rsid w:val="49341C2B"/>
    <w:rsid w:val="49346CF1"/>
    <w:rsid w:val="494A309B"/>
    <w:rsid w:val="494B3250"/>
    <w:rsid w:val="494C57CF"/>
    <w:rsid w:val="494D16C1"/>
    <w:rsid w:val="4959460B"/>
    <w:rsid w:val="49C324E8"/>
    <w:rsid w:val="49CA7E3C"/>
    <w:rsid w:val="49D9493E"/>
    <w:rsid w:val="49E05DCB"/>
    <w:rsid w:val="49EB622C"/>
    <w:rsid w:val="49F50CB4"/>
    <w:rsid w:val="4A0028F7"/>
    <w:rsid w:val="4A060453"/>
    <w:rsid w:val="4A087489"/>
    <w:rsid w:val="4A2B1F5C"/>
    <w:rsid w:val="4A597A22"/>
    <w:rsid w:val="4A824219"/>
    <w:rsid w:val="4A8E7E91"/>
    <w:rsid w:val="4A9713FB"/>
    <w:rsid w:val="4A9947DA"/>
    <w:rsid w:val="4A997593"/>
    <w:rsid w:val="4A9A7E74"/>
    <w:rsid w:val="4AA614AA"/>
    <w:rsid w:val="4AA828AB"/>
    <w:rsid w:val="4AB220B5"/>
    <w:rsid w:val="4ABE07D2"/>
    <w:rsid w:val="4AC01BED"/>
    <w:rsid w:val="4AC07531"/>
    <w:rsid w:val="4AC1656E"/>
    <w:rsid w:val="4AC24A28"/>
    <w:rsid w:val="4ACA6106"/>
    <w:rsid w:val="4ACB1D0F"/>
    <w:rsid w:val="4ACD1533"/>
    <w:rsid w:val="4AEE194A"/>
    <w:rsid w:val="4AF55326"/>
    <w:rsid w:val="4AF71C76"/>
    <w:rsid w:val="4B12691B"/>
    <w:rsid w:val="4B2225E4"/>
    <w:rsid w:val="4B2249D6"/>
    <w:rsid w:val="4B330DED"/>
    <w:rsid w:val="4B342BB9"/>
    <w:rsid w:val="4B354361"/>
    <w:rsid w:val="4B3C784A"/>
    <w:rsid w:val="4B447281"/>
    <w:rsid w:val="4B4E6196"/>
    <w:rsid w:val="4B5065E5"/>
    <w:rsid w:val="4B592E90"/>
    <w:rsid w:val="4B60501C"/>
    <w:rsid w:val="4B7A6EA5"/>
    <w:rsid w:val="4B8A5383"/>
    <w:rsid w:val="4BA27782"/>
    <w:rsid w:val="4BA85532"/>
    <w:rsid w:val="4BAB6EB1"/>
    <w:rsid w:val="4BB340E6"/>
    <w:rsid w:val="4BC004F6"/>
    <w:rsid w:val="4BC2046B"/>
    <w:rsid w:val="4BC70568"/>
    <w:rsid w:val="4BCD4308"/>
    <w:rsid w:val="4BD732D2"/>
    <w:rsid w:val="4BEF7306"/>
    <w:rsid w:val="4BF5474B"/>
    <w:rsid w:val="4BF83ED0"/>
    <w:rsid w:val="4BF859A8"/>
    <w:rsid w:val="4BFD4DB2"/>
    <w:rsid w:val="4C0C70D3"/>
    <w:rsid w:val="4C241B55"/>
    <w:rsid w:val="4C2B4F79"/>
    <w:rsid w:val="4C385A40"/>
    <w:rsid w:val="4C4B3831"/>
    <w:rsid w:val="4C5A5543"/>
    <w:rsid w:val="4C5C7AC9"/>
    <w:rsid w:val="4C6A698D"/>
    <w:rsid w:val="4C7E62D9"/>
    <w:rsid w:val="4C8354A3"/>
    <w:rsid w:val="4CA321E7"/>
    <w:rsid w:val="4CB63AA4"/>
    <w:rsid w:val="4CB96134"/>
    <w:rsid w:val="4CBA6BE7"/>
    <w:rsid w:val="4CBB7B02"/>
    <w:rsid w:val="4CC45A83"/>
    <w:rsid w:val="4CC53803"/>
    <w:rsid w:val="4CD00124"/>
    <w:rsid w:val="4CDF4F5F"/>
    <w:rsid w:val="4CE679D2"/>
    <w:rsid w:val="4CF73AC7"/>
    <w:rsid w:val="4CF850CA"/>
    <w:rsid w:val="4CFB4906"/>
    <w:rsid w:val="4D04433E"/>
    <w:rsid w:val="4D066A1E"/>
    <w:rsid w:val="4D111DEA"/>
    <w:rsid w:val="4D15653E"/>
    <w:rsid w:val="4D1A17B3"/>
    <w:rsid w:val="4D1C31C6"/>
    <w:rsid w:val="4D240701"/>
    <w:rsid w:val="4D3044C7"/>
    <w:rsid w:val="4D361251"/>
    <w:rsid w:val="4D3E2049"/>
    <w:rsid w:val="4D44774F"/>
    <w:rsid w:val="4D4B58A5"/>
    <w:rsid w:val="4D4C4574"/>
    <w:rsid w:val="4D5B6A1B"/>
    <w:rsid w:val="4D627203"/>
    <w:rsid w:val="4D66006E"/>
    <w:rsid w:val="4D6C3B9E"/>
    <w:rsid w:val="4D8674BE"/>
    <w:rsid w:val="4D8B066E"/>
    <w:rsid w:val="4D920C3D"/>
    <w:rsid w:val="4D976BD2"/>
    <w:rsid w:val="4D9C209F"/>
    <w:rsid w:val="4DA06A38"/>
    <w:rsid w:val="4DAD2CB6"/>
    <w:rsid w:val="4DBC21EC"/>
    <w:rsid w:val="4DC3357A"/>
    <w:rsid w:val="4DD806AE"/>
    <w:rsid w:val="4DEB5692"/>
    <w:rsid w:val="4DF17B7F"/>
    <w:rsid w:val="4DF62A72"/>
    <w:rsid w:val="4DF71177"/>
    <w:rsid w:val="4E015F8B"/>
    <w:rsid w:val="4E0A7662"/>
    <w:rsid w:val="4E15259A"/>
    <w:rsid w:val="4E163912"/>
    <w:rsid w:val="4E192019"/>
    <w:rsid w:val="4E1C4AEB"/>
    <w:rsid w:val="4E283BF9"/>
    <w:rsid w:val="4E3F2E3C"/>
    <w:rsid w:val="4E5A49F3"/>
    <w:rsid w:val="4E7A2E8A"/>
    <w:rsid w:val="4E7C181D"/>
    <w:rsid w:val="4E81432F"/>
    <w:rsid w:val="4E9373C0"/>
    <w:rsid w:val="4EA6083B"/>
    <w:rsid w:val="4EAB62F0"/>
    <w:rsid w:val="4EB619A8"/>
    <w:rsid w:val="4EBB6FFE"/>
    <w:rsid w:val="4EC56069"/>
    <w:rsid w:val="4ECD751A"/>
    <w:rsid w:val="4ED75DAE"/>
    <w:rsid w:val="4EE105D0"/>
    <w:rsid w:val="4EE7009D"/>
    <w:rsid w:val="4EFA5D6D"/>
    <w:rsid w:val="4EFB4E8F"/>
    <w:rsid w:val="4F064596"/>
    <w:rsid w:val="4F08177C"/>
    <w:rsid w:val="4F092C81"/>
    <w:rsid w:val="4F0D4F13"/>
    <w:rsid w:val="4F1C5302"/>
    <w:rsid w:val="4F2C1A89"/>
    <w:rsid w:val="4F2F54B5"/>
    <w:rsid w:val="4F3D05DF"/>
    <w:rsid w:val="4F3F4604"/>
    <w:rsid w:val="4F4F0440"/>
    <w:rsid w:val="4F632DB7"/>
    <w:rsid w:val="4F6828F3"/>
    <w:rsid w:val="4F745890"/>
    <w:rsid w:val="4F7702EF"/>
    <w:rsid w:val="4F7B55C1"/>
    <w:rsid w:val="4F7B6C2F"/>
    <w:rsid w:val="4F882033"/>
    <w:rsid w:val="4F967CF0"/>
    <w:rsid w:val="4FA45FB4"/>
    <w:rsid w:val="4FB140AE"/>
    <w:rsid w:val="4FB76356"/>
    <w:rsid w:val="4FBE4AFD"/>
    <w:rsid w:val="4FD01430"/>
    <w:rsid w:val="4FD90180"/>
    <w:rsid w:val="4FDF31AE"/>
    <w:rsid w:val="4FEA2E06"/>
    <w:rsid w:val="4FEF5594"/>
    <w:rsid w:val="4FF6565E"/>
    <w:rsid w:val="4FFCF649"/>
    <w:rsid w:val="500A2552"/>
    <w:rsid w:val="50131C60"/>
    <w:rsid w:val="501723E6"/>
    <w:rsid w:val="501D6123"/>
    <w:rsid w:val="50234132"/>
    <w:rsid w:val="50296286"/>
    <w:rsid w:val="502D02A0"/>
    <w:rsid w:val="50396587"/>
    <w:rsid w:val="503B1382"/>
    <w:rsid w:val="50486E0E"/>
    <w:rsid w:val="50684E81"/>
    <w:rsid w:val="5075104B"/>
    <w:rsid w:val="5075687D"/>
    <w:rsid w:val="507852DF"/>
    <w:rsid w:val="50866AC3"/>
    <w:rsid w:val="508A07B8"/>
    <w:rsid w:val="50900126"/>
    <w:rsid w:val="509C7C29"/>
    <w:rsid w:val="50A2127B"/>
    <w:rsid w:val="50A32FC8"/>
    <w:rsid w:val="50B614C2"/>
    <w:rsid w:val="50C74476"/>
    <w:rsid w:val="50E2518C"/>
    <w:rsid w:val="50E41082"/>
    <w:rsid w:val="50F66EF4"/>
    <w:rsid w:val="50F96C4E"/>
    <w:rsid w:val="50FA20DD"/>
    <w:rsid w:val="50FA2CE9"/>
    <w:rsid w:val="5104147F"/>
    <w:rsid w:val="51075C61"/>
    <w:rsid w:val="511835E5"/>
    <w:rsid w:val="51233865"/>
    <w:rsid w:val="51240121"/>
    <w:rsid w:val="51282BDC"/>
    <w:rsid w:val="512C327D"/>
    <w:rsid w:val="512C5700"/>
    <w:rsid w:val="51302EC3"/>
    <w:rsid w:val="514329D6"/>
    <w:rsid w:val="514C67E7"/>
    <w:rsid w:val="51663591"/>
    <w:rsid w:val="517B0723"/>
    <w:rsid w:val="518D3959"/>
    <w:rsid w:val="51904C47"/>
    <w:rsid w:val="519F0748"/>
    <w:rsid w:val="51A5718F"/>
    <w:rsid w:val="51AA5EE3"/>
    <w:rsid w:val="51AC042E"/>
    <w:rsid w:val="51AE2C09"/>
    <w:rsid w:val="51B4034E"/>
    <w:rsid w:val="51B67C18"/>
    <w:rsid w:val="51BB2F03"/>
    <w:rsid w:val="51C16B27"/>
    <w:rsid w:val="51D66181"/>
    <w:rsid w:val="51DD07C4"/>
    <w:rsid w:val="51DF5E42"/>
    <w:rsid w:val="51E92702"/>
    <w:rsid w:val="51EA5164"/>
    <w:rsid w:val="51EE1CAB"/>
    <w:rsid w:val="51EE1CAE"/>
    <w:rsid w:val="52056978"/>
    <w:rsid w:val="520D1F5C"/>
    <w:rsid w:val="521A2F30"/>
    <w:rsid w:val="521B0709"/>
    <w:rsid w:val="521F5463"/>
    <w:rsid w:val="522408E3"/>
    <w:rsid w:val="522C3822"/>
    <w:rsid w:val="523503EF"/>
    <w:rsid w:val="523A7964"/>
    <w:rsid w:val="523B5943"/>
    <w:rsid w:val="524B3FDE"/>
    <w:rsid w:val="524B64AA"/>
    <w:rsid w:val="52502DC9"/>
    <w:rsid w:val="525115A8"/>
    <w:rsid w:val="52547186"/>
    <w:rsid w:val="52631321"/>
    <w:rsid w:val="526B2DEC"/>
    <w:rsid w:val="526B5EEE"/>
    <w:rsid w:val="527D67A7"/>
    <w:rsid w:val="52AF3F38"/>
    <w:rsid w:val="52B33948"/>
    <w:rsid w:val="52C93BBE"/>
    <w:rsid w:val="52D05D9C"/>
    <w:rsid w:val="52DF5A77"/>
    <w:rsid w:val="52E113F5"/>
    <w:rsid w:val="52E2402D"/>
    <w:rsid w:val="530715FB"/>
    <w:rsid w:val="530D0E70"/>
    <w:rsid w:val="53297E57"/>
    <w:rsid w:val="533F38E7"/>
    <w:rsid w:val="53420089"/>
    <w:rsid w:val="534C79BB"/>
    <w:rsid w:val="537D23DD"/>
    <w:rsid w:val="5384469F"/>
    <w:rsid w:val="53871AB1"/>
    <w:rsid w:val="538D6A67"/>
    <w:rsid w:val="539150CC"/>
    <w:rsid w:val="539802F4"/>
    <w:rsid w:val="539D2ACB"/>
    <w:rsid w:val="53A64776"/>
    <w:rsid w:val="53A74C89"/>
    <w:rsid w:val="53AC48CA"/>
    <w:rsid w:val="53B15393"/>
    <w:rsid w:val="53C12731"/>
    <w:rsid w:val="53CF5237"/>
    <w:rsid w:val="53D20731"/>
    <w:rsid w:val="53D224D9"/>
    <w:rsid w:val="53DA6ABC"/>
    <w:rsid w:val="53E27E4A"/>
    <w:rsid w:val="53E355BF"/>
    <w:rsid w:val="53E8282F"/>
    <w:rsid w:val="53E857A6"/>
    <w:rsid w:val="53F86054"/>
    <w:rsid w:val="53FF5DC1"/>
    <w:rsid w:val="54061774"/>
    <w:rsid w:val="54084368"/>
    <w:rsid w:val="540E3ABB"/>
    <w:rsid w:val="5415213B"/>
    <w:rsid w:val="54174D5D"/>
    <w:rsid w:val="541B216B"/>
    <w:rsid w:val="54287A4E"/>
    <w:rsid w:val="543A3A51"/>
    <w:rsid w:val="543B76CE"/>
    <w:rsid w:val="54441F03"/>
    <w:rsid w:val="5458604D"/>
    <w:rsid w:val="545B4B40"/>
    <w:rsid w:val="5465700C"/>
    <w:rsid w:val="54684A59"/>
    <w:rsid w:val="546F42E0"/>
    <w:rsid w:val="54735790"/>
    <w:rsid w:val="54805AA2"/>
    <w:rsid w:val="54820F7A"/>
    <w:rsid w:val="54881F94"/>
    <w:rsid w:val="54921106"/>
    <w:rsid w:val="54954EAC"/>
    <w:rsid w:val="549D7DE1"/>
    <w:rsid w:val="549E4A99"/>
    <w:rsid w:val="54A00AB1"/>
    <w:rsid w:val="54AD774F"/>
    <w:rsid w:val="54B03A20"/>
    <w:rsid w:val="54B60902"/>
    <w:rsid w:val="54B93795"/>
    <w:rsid w:val="54E44BF0"/>
    <w:rsid w:val="54E462F6"/>
    <w:rsid w:val="54F54AD8"/>
    <w:rsid w:val="550641A4"/>
    <w:rsid w:val="550875D8"/>
    <w:rsid w:val="550C5474"/>
    <w:rsid w:val="550E0556"/>
    <w:rsid w:val="55100448"/>
    <w:rsid w:val="55201E14"/>
    <w:rsid w:val="55230BAB"/>
    <w:rsid w:val="55294FFC"/>
    <w:rsid w:val="552C5FEB"/>
    <w:rsid w:val="553B448E"/>
    <w:rsid w:val="553D1974"/>
    <w:rsid w:val="554057BF"/>
    <w:rsid w:val="554376C8"/>
    <w:rsid w:val="554B2788"/>
    <w:rsid w:val="554E0A19"/>
    <w:rsid w:val="554F0D7B"/>
    <w:rsid w:val="55564942"/>
    <w:rsid w:val="55605D8B"/>
    <w:rsid w:val="55656CD2"/>
    <w:rsid w:val="556A2415"/>
    <w:rsid w:val="557263B3"/>
    <w:rsid w:val="5575623A"/>
    <w:rsid w:val="55792873"/>
    <w:rsid w:val="557A3FBC"/>
    <w:rsid w:val="55812DCB"/>
    <w:rsid w:val="5582442D"/>
    <w:rsid w:val="558D6B82"/>
    <w:rsid w:val="55943888"/>
    <w:rsid w:val="559F786F"/>
    <w:rsid w:val="55A7258C"/>
    <w:rsid w:val="55AC794C"/>
    <w:rsid w:val="55AD28F4"/>
    <w:rsid w:val="55AE5163"/>
    <w:rsid w:val="55B62F64"/>
    <w:rsid w:val="55B95799"/>
    <w:rsid w:val="55BD4F0C"/>
    <w:rsid w:val="55D01BC1"/>
    <w:rsid w:val="55E32F66"/>
    <w:rsid w:val="55FF3C96"/>
    <w:rsid w:val="560010ED"/>
    <w:rsid w:val="560A1E7A"/>
    <w:rsid w:val="560C20A5"/>
    <w:rsid w:val="561C3C7D"/>
    <w:rsid w:val="562C2FA6"/>
    <w:rsid w:val="562E13B9"/>
    <w:rsid w:val="56312196"/>
    <w:rsid w:val="56353E08"/>
    <w:rsid w:val="56362C3B"/>
    <w:rsid w:val="564B4F61"/>
    <w:rsid w:val="564C6A6F"/>
    <w:rsid w:val="56506BA6"/>
    <w:rsid w:val="565D32EE"/>
    <w:rsid w:val="56682B4C"/>
    <w:rsid w:val="5668633D"/>
    <w:rsid w:val="566D65BC"/>
    <w:rsid w:val="56707213"/>
    <w:rsid w:val="56757DE9"/>
    <w:rsid w:val="5677517B"/>
    <w:rsid w:val="56882964"/>
    <w:rsid w:val="568E5C2E"/>
    <w:rsid w:val="56946918"/>
    <w:rsid w:val="569D0DCD"/>
    <w:rsid w:val="56A05E75"/>
    <w:rsid w:val="56BD4880"/>
    <w:rsid w:val="56BF385F"/>
    <w:rsid w:val="56C210AA"/>
    <w:rsid w:val="56C50357"/>
    <w:rsid w:val="56D13A0A"/>
    <w:rsid w:val="56D20120"/>
    <w:rsid w:val="56D20AA8"/>
    <w:rsid w:val="56D57F50"/>
    <w:rsid w:val="56E06ED2"/>
    <w:rsid w:val="56E65453"/>
    <w:rsid w:val="56E83278"/>
    <w:rsid w:val="56EC6164"/>
    <w:rsid w:val="57023C45"/>
    <w:rsid w:val="57110C6D"/>
    <w:rsid w:val="5713500C"/>
    <w:rsid w:val="5720074D"/>
    <w:rsid w:val="57243036"/>
    <w:rsid w:val="57257327"/>
    <w:rsid w:val="573336BE"/>
    <w:rsid w:val="573B06C9"/>
    <w:rsid w:val="574532CA"/>
    <w:rsid w:val="575B929F"/>
    <w:rsid w:val="575D3CB3"/>
    <w:rsid w:val="57775CEA"/>
    <w:rsid w:val="577B6220"/>
    <w:rsid w:val="577C648F"/>
    <w:rsid w:val="578042DA"/>
    <w:rsid w:val="5787349E"/>
    <w:rsid w:val="579E3D52"/>
    <w:rsid w:val="57B27112"/>
    <w:rsid w:val="57B63A8B"/>
    <w:rsid w:val="57B738E0"/>
    <w:rsid w:val="57B90017"/>
    <w:rsid w:val="57BC7E22"/>
    <w:rsid w:val="57C80109"/>
    <w:rsid w:val="57CA6B58"/>
    <w:rsid w:val="57CD0996"/>
    <w:rsid w:val="57D3757D"/>
    <w:rsid w:val="57DD4CF2"/>
    <w:rsid w:val="57E302C9"/>
    <w:rsid w:val="57EA39E4"/>
    <w:rsid w:val="57FA4253"/>
    <w:rsid w:val="57FF37AB"/>
    <w:rsid w:val="581663A7"/>
    <w:rsid w:val="581A6136"/>
    <w:rsid w:val="583339EA"/>
    <w:rsid w:val="583975EB"/>
    <w:rsid w:val="585144AA"/>
    <w:rsid w:val="58567D64"/>
    <w:rsid w:val="586057AB"/>
    <w:rsid w:val="58651B4D"/>
    <w:rsid w:val="586578BF"/>
    <w:rsid w:val="58730A21"/>
    <w:rsid w:val="587A152E"/>
    <w:rsid w:val="587A70C6"/>
    <w:rsid w:val="588D7EB4"/>
    <w:rsid w:val="589947D3"/>
    <w:rsid w:val="589A4F5C"/>
    <w:rsid w:val="58A75020"/>
    <w:rsid w:val="58B32D3F"/>
    <w:rsid w:val="58C0349D"/>
    <w:rsid w:val="58C94687"/>
    <w:rsid w:val="58DE49F6"/>
    <w:rsid w:val="58F7247A"/>
    <w:rsid w:val="590413BD"/>
    <w:rsid w:val="5913289D"/>
    <w:rsid w:val="5919795C"/>
    <w:rsid w:val="59232537"/>
    <w:rsid w:val="592F245D"/>
    <w:rsid w:val="593D3B58"/>
    <w:rsid w:val="59440619"/>
    <w:rsid w:val="5945315F"/>
    <w:rsid w:val="594720D1"/>
    <w:rsid w:val="5952E4A2"/>
    <w:rsid w:val="59570C35"/>
    <w:rsid w:val="596326A9"/>
    <w:rsid w:val="59700257"/>
    <w:rsid w:val="59724E0E"/>
    <w:rsid w:val="597252E0"/>
    <w:rsid w:val="597D3815"/>
    <w:rsid w:val="59830A4E"/>
    <w:rsid w:val="59907A1F"/>
    <w:rsid w:val="599101A7"/>
    <w:rsid w:val="5993497F"/>
    <w:rsid w:val="59AF271B"/>
    <w:rsid w:val="59C00CFC"/>
    <w:rsid w:val="59D216F2"/>
    <w:rsid w:val="59D83C47"/>
    <w:rsid w:val="59D959D8"/>
    <w:rsid w:val="59DA2275"/>
    <w:rsid w:val="59DE34E6"/>
    <w:rsid w:val="59E01845"/>
    <w:rsid w:val="59E1260A"/>
    <w:rsid w:val="59E37CE0"/>
    <w:rsid w:val="59E505F7"/>
    <w:rsid w:val="59E75D47"/>
    <w:rsid w:val="59E90380"/>
    <w:rsid w:val="59FF00D1"/>
    <w:rsid w:val="5A03253F"/>
    <w:rsid w:val="5A1560F8"/>
    <w:rsid w:val="5A17068E"/>
    <w:rsid w:val="5A1F739C"/>
    <w:rsid w:val="5A20482B"/>
    <w:rsid w:val="5A297734"/>
    <w:rsid w:val="5A4433AC"/>
    <w:rsid w:val="5A456C26"/>
    <w:rsid w:val="5A4F57C5"/>
    <w:rsid w:val="5A4F5EE1"/>
    <w:rsid w:val="5A5665CD"/>
    <w:rsid w:val="5A593148"/>
    <w:rsid w:val="5A5E0CAD"/>
    <w:rsid w:val="5A604B4C"/>
    <w:rsid w:val="5A620DD5"/>
    <w:rsid w:val="5A6E519E"/>
    <w:rsid w:val="5A6E5F01"/>
    <w:rsid w:val="5A7F23D0"/>
    <w:rsid w:val="5A89045B"/>
    <w:rsid w:val="5A8A094A"/>
    <w:rsid w:val="5A8F2C1C"/>
    <w:rsid w:val="5A947631"/>
    <w:rsid w:val="5A9F1F6A"/>
    <w:rsid w:val="5AAE1E87"/>
    <w:rsid w:val="5AB3317B"/>
    <w:rsid w:val="5ACF442D"/>
    <w:rsid w:val="5AD7497B"/>
    <w:rsid w:val="5AD87740"/>
    <w:rsid w:val="5ADB4B04"/>
    <w:rsid w:val="5AE67D49"/>
    <w:rsid w:val="5AEC2ADA"/>
    <w:rsid w:val="5AED24DD"/>
    <w:rsid w:val="5AED482E"/>
    <w:rsid w:val="5AF2382A"/>
    <w:rsid w:val="5AF43314"/>
    <w:rsid w:val="5B0604A3"/>
    <w:rsid w:val="5B1223E2"/>
    <w:rsid w:val="5B162801"/>
    <w:rsid w:val="5B1959CE"/>
    <w:rsid w:val="5B247BFB"/>
    <w:rsid w:val="5B344D84"/>
    <w:rsid w:val="5B565B4F"/>
    <w:rsid w:val="5B585CC5"/>
    <w:rsid w:val="5B5911EA"/>
    <w:rsid w:val="5B5B6C7F"/>
    <w:rsid w:val="5B5F167F"/>
    <w:rsid w:val="5B73596C"/>
    <w:rsid w:val="5B8E3166"/>
    <w:rsid w:val="5B903475"/>
    <w:rsid w:val="5B982E7E"/>
    <w:rsid w:val="5B9B660C"/>
    <w:rsid w:val="5B9ED72F"/>
    <w:rsid w:val="5BD1505A"/>
    <w:rsid w:val="5BD92BA9"/>
    <w:rsid w:val="5BDD29C3"/>
    <w:rsid w:val="5BDE6F14"/>
    <w:rsid w:val="5C046156"/>
    <w:rsid w:val="5C0A3BB7"/>
    <w:rsid w:val="5C0D4A62"/>
    <w:rsid w:val="5C1202F0"/>
    <w:rsid w:val="5C15137F"/>
    <w:rsid w:val="5C17089D"/>
    <w:rsid w:val="5C18679F"/>
    <w:rsid w:val="5C1E0DBA"/>
    <w:rsid w:val="5C3768BF"/>
    <w:rsid w:val="5C41255A"/>
    <w:rsid w:val="5C4A6360"/>
    <w:rsid w:val="5C716BC5"/>
    <w:rsid w:val="5C752E46"/>
    <w:rsid w:val="5C784ED3"/>
    <w:rsid w:val="5C7D4D78"/>
    <w:rsid w:val="5C8046F6"/>
    <w:rsid w:val="5C812DA3"/>
    <w:rsid w:val="5C81304B"/>
    <w:rsid w:val="5C8439E2"/>
    <w:rsid w:val="5C851DC2"/>
    <w:rsid w:val="5C916F38"/>
    <w:rsid w:val="5CA55250"/>
    <w:rsid w:val="5CB7487F"/>
    <w:rsid w:val="5CBA2E24"/>
    <w:rsid w:val="5CBE4851"/>
    <w:rsid w:val="5CBF7942"/>
    <w:rsid w:val="5CD80A4C"/>
    <w:rsid w:val="5CF22A1A"/>
    <w:rsid w:val="5CF3304A"/>
    <w:rsid w:val="5CF4346B"/>
    <w:rsid w:val="5CF55D68"/>
    <w:rsid w:val="5CF97C9E"/>
    <w:rsid w:val="5D0C1414"/>
    <w:rsid w:val="5D147912"/>
    <w:rsid w:val="5D1A687B"/>
    <w:rsid w:val="5D264FF5"/>
    <w:rsid w:val="5D27538E"/>
    <w:rsid w:val="5D2A7616"/>
    <w:rsid w:val="5D5144E6"/>
    <w:rsid w:val="5D530BAE"/>
    <w:rsid w:val="5D5F1E28"/>
    <w:rsid w:val="5D60610D"/>
    <w:rsid w:val="5D677934"/>
    <w:rsid w:val="5D701A55"/>
    <w:rsid w:val="5D747EB4"/>
    <w:rsid w:val="5D760E05"/>
    <w:rsid w:val="5D7A32EB"/>
    <w:rsid w:val="5D7E7D36"/>
    <w:rsid w:val="5D800E7C"/>
    <w:rsid w:val="5D862A93"/>
    <w:rsid w:val="5D867492"/>
    <w:rsid w:val="5D8F3E02"/>
    <w:rsid w:val="5D9126BE"/>
    <w:rsid w:val="5DAD66F9"/>
    <w:rsid w:val="5DAF334A"/>
    <w:rsid w:val="5DB40934"/>
    <w:rsid w:val="5DB87B7B"/>
    <w:rsid w:val="5DBA0D1A"/>
    <w:rsid w:val="5DBC7DD0"/>
    <w:rsid w:val="5DD07EF8"/>
    <w:rsid w:val="5DD15393"/>
    <w:rsid w:val="5DD67626"/>
    <w:rsid w:val="5DDA2597"/>
    <w:rsid w:val="5DE93770"/>
    <w:rsid w:val="5DEF5FD6"/>
    <w:rsid w:val="5DFB1089"/>
    <w:rsid w:val="5E087EA2"/>
    <w:rsid w:val="5E0D67C6"/>
    <w:rsid w:val="5E2775CA"/>
    <w:rsid w:val="5E294315"/>
    <w:rsid w:val="5E295856"/>
    <w:rsid w:val="5E2A2D6E"/>
    <w:rsid w:val="5E330F25"/>
    <w:rsid w:val="5E35132D"/>
    <w:rsid w:val="5E3B68DA"/>
    <w:rsid w:val="5E49038C"/>
    <w:rsid w:val="5E4A1687"/>
    <w:rsid w:val="5E4E124A"/>
    <w:rsid w:val="5E6E2F82"/>
    <w:rsid w:val="5E82512E"/>
    <w:rsid w:val="5E841F6A"/>
    <w:rsid w:val="5E860060"/>
    <w:rsid w:val="5E8732C3"/>
    <w:rsid w:val="5EA5785A"/>
    <w:rsid w:val="5EAD61A7"/>
    <w:rsid w:val="5EB75779"/>
    <w:rsid w:val="5EC030D5"/>
    <w:rsid w:val="5EC824A5"/>
    <w:rsid w:val="5ECD663E"/>
    <w:rsid w:val="5ED358B4"/>
    <w:rsid w:val="5ED744EA"/>
    <w:rsid w:val="5EDC1150"/>
    <w:rsid w:val="5EE24C8F"/>
    <w:rsid w:val="5EE327A2"/>
    <w:rsid w:val="5EE32EAC"/>
    <w:rsid w:val="5EE509E9"/>
    <w:rsid w:val="5F054905"/>
    <w:rsid w:val="5F127126"/>
    <w:rsid w:val="5F133281"/>
    <w:rsid w:val="5F163472"/>
    <w:rsid w:val="5F196D78"/>
    <w:rsid w:val="5F221B23"/>
    <w:rsid w:val="5F2B03F6"/>
    <w:rsid w:val="5F357F56"/>
    <w:rsid w:val="5F407373"/>
    <w:rsid w:val="5F437782"/>
    <w:rsid w:val="5F43F137"/>
    <w:rsid w:val="5F462070"/>
    <w:rsid w:val="5F494C21"/>
    <w:rsid w:val="5F4C1967"/>
    <w:rsid w:val="5F4C40F2"/>
    <w:rsid w:val="5F675362"/>
    <w:rsid w:val="5F76465B"/>
    <w:rsid w:val="5F7E19A1"/>
    <w:rsid w:val="5F881135"/>
    <w:rsid w:val="5F8D0E05"/>
    <w:rsid w:val="5F9537D5"/>
    <w:rsid w:val="5F991BCB"/>
    <w:rsid w:val="5FB64A68"/>
    <w:rsid w:val="5FBF59B7"/>
    <w:rsid w:val="5FD21CA0"/>
    <w:rsid w:val="5FD81733"/>
    <w:rsid w:val="5FDE2E8C"/>
    <w:rsid w:val="5FE32071"/>
    <w:rsid w:val="5FE7A0DC"/>
    <w:rsid w:val="5FEC1D02"/>
    <w:rsid w:val="5FED15CB"/>
    <w:rsid w:val="5FEE7DDE"/>
    <w:rsid w:val="600B3F28"/>
    <w:rsid w:val="600B6F9E"/>
    <w:rsid w:val="600F0E40"/>
    <w:rsid w:val="60204443"/>
    <w:rsid w:val="602A71DA"/>
    <w:rsid w:val="6037259D"/>
    <w:rsid w:val="60377C74"/>
    <w:rsid w:val="60481217"/>
    <w:rsid w:val="605806CA"/>
    <w:rsid w:val="606D316C"/>
    <w:rsid w:val="6075208D"/>
    <w:rsid w:val="60802E35"/>
    <w:rsid w:val="60811FD8"/>
    <w:rsid w:val="60A07B09"/>
    <w:rsid w:val="60A151AB"/>
    <w:rsid w:val="60AB25C5"/>
    <w:rsid w:val="60AF1513"/>
    <w:rsid w:val="60B011C0"/>
    <w:rsid w:val="60B17A56"/>
    <w:rsid w:val="60BB7B96"/>
    <w:rsid w:val="60C85076"/>
    <w:rsid w:val="60CC596E"/>
    <w:rsid w:val="60D41389"/>
    <w:rsid w:val="60DC22DF"/>
    <w:rsid w:val="60E20005"/>
    <w:rsid w:val="60E440E4"/>
    <w:rsid w:val="60FA79C1"/>
    <w:rsid w:val="61025B94"/>
    <w:rsid w:val="61164D5D"/>
    <w:rsid w:val="6117553F"/>
    <w:rsid w:val="611F628F"/>
    <w:rsid w:val="61213386"/>
    <w:rsid w:val="612A5441"/>
    <w:rsid w:val="612D4D44"/>
    <w:rsid w:val="613971FF"/>
    <w:rsid w:val="613A4317"/>
    <w:rsid w:val="613A49B3"/>
    <w:rsid w:val="613C7AC2"/>
    <w:rsid w:val="613F7BA1"/>
    <w:rsid w:val="6152509D"/>
    <w:rsid w:val="615A6011"/>
    <w:rsid w:val="61624B79"/>
    <w:rsid w:val="6168028F"/>
    <w:rsid w:val="61702915"/>
    <w:rsid w:val="617504E6"/>
    <w:rsid w:val="617812D0"/>
    <w:rsid w:val="61797EA7"/>
    <w:rsid w:val="617A3E50"/>
    <w:rsid w:val="618B5C3B"/>
    <w:rsid w:val="6194428A"/>
    <w:rsid w:val="61A20BAF"/>
    <w:rsid w:val="61A757E1"/>
    <w:rsid w:val="61A8370C"/>
    <w:rsid w:val="61AC7C3E"/>
    <w:rsid w:val="61C544D0"/>
    <w:rsid w:val="61C557FB"/>
    <w:rsid w:val="61CA71FC"/>
    <w:rsid w:val="61D12A7D"/>
    <w:rsid w:val="61D92642"/>
    <w:rsid w:val="61DD6C29"/>
    <w:rsid w:val="61DD7269"/>
    <w:rsid w:val="61DE687D"/>
    <w:rsid w:val="61F26A42"/>
    <w:rsid w:val="620045D0"/>
    <w:rsid w:val="62015914"/>
    <w:rsid w:val="62193EB9"/>
    <w:rsid w:val="6224074C"/>
    <w:rsid w:val="62297593"/>
    <w:rsid w:val="62327D52"/>
    <w:rsid w:val="62385E96"/>
    <w:rsid w:val="623D4244"/>
    <w:rsid w:val="62416372"/>
    <w:rsid w:val="62515E8E"/>
    <w:rsid w:val="626224AE"/>
    <w:rsid w:val="62636A7F"/>
    <w:rsid w:val="62653928"/>
    <w:rsid w:val="62687C0A"/>
    <w:rsid w:val="62720BC1"/>
    <w:rsid w:val="628163C7"/>
    <w:rsid w:val="628D67FA"/>
    <w:rsid w:val="629B547B"/>
    <w:rsid w:val="62A86E8C"/>
    <w:rsid w:val="62B014DC"/>
    <w:rsid w:val="62BE18F2"/>
    <w:rsid w:val="62C63BB3"/>
    <w:rsid w:val="62D408AA"/>
    <w:rsid w:val="62D9620C"/>
    <w:rsid w:val="62E42049"/>
    <w:rsid w:val="62F2073B"/>
    <w:rsid w:val="63083357"/>
    <w:rsid w:val="63095298"/>
    <w:rsid w:val="630A5F7C"/>
    <w:rsid w:val="63133A2F"/>
    <w:rsid w:val="63171A8A"/>
    <w:rsid w:val="63191FA4"/>
    <w:rsid w:val="631955AD"/>
    <w:rsid w:val="631D0B61"/>
    <w:rsid w:val="633C78BB"/>
    <w:rsid w:val="63425F59"/>
    <w:rsid w:val="634A6BF1"/>
    <w:rsid w:val="63505013"/>
    <w:rsid w:val="6356637E"/>
    <w:rsid w:val="63567264"/>
    <w:rsid w:val="635B50A6"/>
    <w:rsid w:val="635F3E6C"/>
    <w:rsid w:val="638D42C0"/>
    <w:rsid w:val="63A855E8"/>
    <w:rsid w:val="63AF3557"/>
    <w:rsid w:val="63B0726B"/>
    <w:rsid w:val="63BF3A0C"/>
    <w:rsid w:val="63D0326A"/>
    <w:rsid w:val="63D37E25"/>
    <w:rsid w:val="63DA7C45"/>
    <w:rsid w:val="63DB22FB"/>
    <w:rsid w:val="63F97AA8"/>
    <w:rsid w:val="63FA3F48"/>
    <w:rsid w:val="640004A6"/>
    <w:rsid w:val="64074D44"/>
    <w:rsid w:val="64075F2E"/>
    <w:rsid w:val="641369A5"/>
    <w:rsid w:val="64174B6B"/>
    <w:rsid w:val="641B5F92"/>
    <w:rsid w:val="641E45F7"/>
    <w:rsid w:val="6422650A"/>
    <w:rsid w:val="64235DFF"/>
    <w:rsid w:val="64390D60"/>
    <w:rsid w:val="64394F75"/>
    <w:rsid w:val="643F472E"/>
    <w:rsid w:val="644E07D9"/>
    <w:rsid w:val="64541B32"/>
    <w:rsid w:val="645719A3"/>
    <w:rsid w:val="646025F0"/>
    <w:rsid w:val="646356FB"/>
    <w:rsid w:val="64694C1B"/>
    <w:rsid w:val="646A5E54"/>
    <w:rsid w:val="648116BE"/>
    <w:rsid w:val="64972862"/>
    <w:rsid w:val="64983E35"/>
    <w:rsid w:val="649B4103"/>
    <w:rsid w:val="649F1E2A"/>
    <w:rsid w:val="64A57EA9"/>
    <w:rsid w:val="64BB5402"/>
    <w:rsid w:val="64BD0DE2"/>
    <w:rsid w:val="64E333A8"/>
    <w:rsid w:val="64EA733A"/>
    <w:rsid w:val="64EB1253"/>
    <w:rsid w:val="650548C8"/>
    <w:rsid w:val="650906B2"/>
    <w:rsid w:val="650E29E3"/>
    <w:rsid w:val="651725E2"/>
    <w:rsid w:val="65381046"/>
    <w:rsid w:val="65405E19"/>
    <w:rsid w:val="654D2F79"/>
    <w:rsid w:val="65617866"/>
    <w:rsid w:val="6570194C"/>
    <w:rsid w:val="65741253"/>
    <w:rsid w:val="657933B4"/>
    <w:rsid w:val="658629E2"/>
    <w:rsid w:val="65886C35"/>
    <w:rsid w:val="65892994"/>
    <w:rsid w:val="659DDF00"/>
    <w:rsid w:val="65AC7D2D"/>
    <w:rsid w:val="65B33A17"/>
    <w:rsid w:val="65CE50BB"/>
    <w:rsid w:val="65D74D65"/>
    <w:rsid w:val="65DC221B"/>
    <w:rsid w:val="65DD4A5C"/>
    <w:rsid w:val="65ED1249"/>
    <w:rsid w:val="65FE6126"/>
    <w:rsid w:val="65FF827D"/>
    <w:rsid w:val="66026916"/>
    <w:rsid w:val="66162A82"/>
    <w:rsid w:val="66162D18"/>
    <w:rsid w:val="66196874"/>
    <w:rsid w:val="66196EAD"/>
    <w:rsid w:val="661D6420"/>
    <w:rsid w:val="66242FDE"/>
    <w:rsid w:val="66322AB5"/>
    <w:rsid w:val="663B0316"/>
    <w:rsid w:val="664956ED"/>
    <w:rsid w:val="664E0513"/>
    <w:rsid w:val="66647507"/>
    <w:rsid w:val="667E00F5"/>
    <w:rsid w:val="668652F7"/>
    <w:rsid w:val="668C6CE7"/>
    <w:rsid w:val="66900CCE"/>
    <w:rsid w:val="66910EB8"/>
    <w:rsid w:val="6694063C"/>
    <w:rsid w:val="66972D8E"/>
    <w:rsid w:val="669B2422"/>
    <w:rsid w:val="66A5721B"/>
    <w:rsid w:val="66B37847"/>
    <w:rsid w:val="66B80708"/>
    <w:rsid w:val="66BD4C82"/>
    <w:rsid w:val="66D953C4"/>
    <w:rsid w:val="66D9632C"/>
    <w:rsid w:val="66E45649"/>
    <w:rsid w:val="66E63A20"/>
    <w:rsid w:val="66F76FD0"/>
    <w:rsid w:val="66F9395F"/>
    <w:rsid w:val="66FF2DB2"/>
    <w:rsid w:val="67044237"/>
    <w:rsid w:val="67074134"/>
    <w:rsid w:val="670D1283"/>
    <w:rsid w:val="671B3C27"/>
    <w:rsid w:val="67204BFD"/>
    <w:rsid w:val="672619FE"/>
    <w:rsid w:val="67292B3C"/>
    <w:rsid w:val="672E3147"/>
    <w:rsid w:val="673253D5"/>
    <w:rsid w:val="67346BFA"/>
    <w:rsid w:val="673C344F"/>
    <w:rsid w:val="6755674D"/>
    <w:rsid w:val="67586A9B"/>
    <w:rsid w:val="675B4AC2"/>
    <w:rsid w:val="675B57F5"/>
    <w:rsid w:val="675F2A05"/>
    <w:rsid w:val="676207E2"/>
    <w:rsid w:val="676A6E3A"/>
    <w:rsid w:val="676F77C9"/>
    <w:rsid w:val="67774242"/>
    <w:rsid w:val="67815A45"/>
    <w:rsid w:val="6791215B"/>
    <w:rsid w:val="67993ACA"/>
    <w:rsid w:val="67995BDF"/>
    <w:rsid w:val="679B3665"/>
    <w:rsid w:val="67A70974"/>
    <w:rsid w:val="67AC4122"/>
    <w:rsid w:val="67B767E6"/>
    <w:rsid w:val="67BC5B96"/>
    <w:rsid w:val="67BF0592"/>
    <w:rsid w:val="67C3489F"/>
    <w:rsid w:val="67CF5883"/>
    <w:rsid w:val="67D2542E"/>
    <w:rsid w:val="67D72703"/>
    <w:rsid w:val="67D82FEC"/>
    <w:rsid w:val="67DE25EB"/>
    <w:rsid w:val="67E5F33A"/>
    <w:rsid w:val="67EE4071"/>
    <w:rsid w:val="67F07B78"/>
    <w:rsid w:val="67F4170F"/>
    <w:rsid w:val="67F750D2"/>
    <w:rsid w:val="67FF6FE0"/>
    <w:rsid w:val="68024EB8"/>
    <w:rsid w:val="680E4D2C"/>
    <w:rsid w:val="68363F74"/>
    <w:rsid w:val="683659CB"/>
    <w:rsid w:val="684B46A6"/>
    <w:rsid w:val="684D303D"/>
    <w:rsid w:val="685A4162"/>
    <w:rsid w:val="68767581"/>
    <w:rsid w:val="68810A52"/>
    <w:rsid w:val="6884668C"/>
    <w:rsid w:val="6888364F"/>
    <w:rsid w:val="689641FE"/>
    <w:rsid w:val="68A3215E"/>
    <w:rsid w:val="68BC7C3A"/>
    <w:rsid w:val="68C07C6D"/>
    <w:rsid w:val="68C24A46"/>
    <w:rsid w:val="68CF4B9D"/>
    <w:rsid w:val="68EE5FF6"/>
    <w:rsid w:val="68F11B06"/>
    <w:rsid w:val="68F12C0F"/>
    <w:rsid w:val="68F13CC7"/>
    <w:rsid w:val="68F3235D"/>
    <w:rsid w:val="68F62489"/>
    <w:rsid w:val="69036D2A"/>
    <w:rsid w:val="69044E32"/>
    <w:rsid w:val="69060615"/>
    <w:rsid w:val="690A435D"/>
    <w:rsid w:val="69106CEB"/>
    <w:rsid w:val="692714E6"/>
    <w:rsid w:val="692E19FD"/>
    <w:rsid w:val="6949404D"/>
    <w:rsid w:val="695A62A9"/>
    <w:rsid w:val="696E4DB1"/>
    <w:rsid w:val="69831A73"/>
    <w:rsid w:val="69833B52"/>
    <w:rsid w:val="69840A36"/>
    <w:rsid w:val="698C6058"/>
    <w:rsid w:val="69976019"/>
    <w:rsid w:val="69A34249"/>
    <w:rsid w:val="69A60CBC"/>
    <w:rsid w:val="69B339A6"/>
    <w:rsid w:val="69B665F3"/>
    <w:rsid w:val="69C932A9"/>
    <w:rsid w:val="69CD2E33"/>
    <w:rsid w:val="69CE2C9D"/>
    <w:rsid w:val="69DC4528"/>
    <w:rsid w:val="69EB5FCC"/>
    <w:rsid w:val="6A063C23"/>
    <w:rsid w:val="6A0B175E"/>
    <w:rsid w:val="6A0B1C3A"/>
    <w:rsid w:val="6A101F75"/>
    <w:rsid w:val="6A1874E7"/>
    <w:rsid w:val="6A282B66"/>
    <w:rsid w:val="6A2C7939"/>
    <w:rsid w:val="6A2E0E19"/>
    <w:rsid w:val="6A2F393C"/>
    <w:rsid w:val="6A2F4319"/>
    <w:rsid w:val="6A31609E"/>
    <w:rsid w:val="6A4457DE"/>
    <w:rsid w:val="6A527D31"/>
    <w:rsid w:val="6A5705B3"/>
    <w:rsid w:val="6A63590F"/>
    <w:rsid w:val="6A6E1B96"/>
    <w:rsid w:val="6A732C43"/>
    <w:rsid w:val="6A8B0B65"/>
    <w:rsid w:val="6A920AE0"/>
    <w:rsid w:val="6ABB3B40"/>
    <w:rsid w:val="6ABF36C4"/>
    <w:rsid w:val="6AC169C2"/>
    <w:rsid w:val="6AC93F8C"/>
    <w:rsid w:val="6AD03B37"/>
    <w:rsid w:val="6AD1121C"/>
    <w:rsid w:val="6ADB2ADD"/>
    <w:rsid w:val="6AF666D5"/>
    <w:rsid w:val="6AFD5B8F"/>
    <w:rsid w:val="6B11594C"/>
    <w:rsid w:val="6B172A8A"/>
    <w:rsid w:val="6B2E7032"/>
    <w:rsid w:val="6B3413B3"/>
    <w:rsid w:val="6B4B72CC"/>
    <w:rsid w:val="6B524ECB"/>
    <w:rsid w:val="6B537D47"/>
    <w:rsid w:val="6B60464B"/>
    <w:rsid w:val="6B681EB2"/>
    <w:rsid w:val="6B696FA9"/>
    <w:rsid w:val="6B6E47D9"/>
    <w:rsid w:val="6B741DC4"/>
    <w:rsid w:val="6B7864BA"/>
    <w:rsid w:val="6B7C0E6F"/>
    <w:rsid w:val="6B7C7DA8"/>
    <w:rsid w:val="6B7F1CEC"/>
    <w:rsid w:val="6B80359D"/>
    <w:rsid w:val="6B8A1407"/>
    <w:rsid w:val="6BA63872"/>
    <w:rsid w:val="6BC80A7B"/>
    <w:rsid w:val="6BDE3149"/>
    <w:rsid w:val="6BE115FE"/>
    <w:rsid w:val="6BFB32BA"/>
    <w:rsid w:val="6BFD6BB7"/>
    <w:rsid w:val="6C026D64"/>
    <w:rsid w:val="6C0B593A"/>
    <w:rsid w:val="6C0E6B4D"/>
    <w:rsid w:val="6C1F0BE7"/>
    <w:rsid w:val="6C34211A"/>
    <w:rsid w:val="6C3727E2"/>
    <w:rsid w:val="6C3C5DF6"/>
    <w:rsid w:val="6C3F714D"/>
    <w:rsid w:val="6C4E7F41"/>
    <w:rsid w:val="6C6B5BD5"/>
    <w:rsid w:val="6C846D17"/>
    <w:rsid w:val="6C8A1950"/>
    <w:rsid w:val="6C8A288A"/>
    <w:rsid w:val="6C917384"/>
    <w:rsid w:val="6C991D5D"/>
    <w:rsid w:val="6CA63D23"/>
    <w:rsid w:val="6CB16C1F"/>
    <w:rsid w:val="6CB7341A"/>
    <w:rsid w:val="6CBC15EB"/>
    <w:rsid w:val="6CBE000E"/>
    <w:rsid w:val="6CC0302E"/>
    <w:rsid w:val="6CC7229D"/>
    <w:rsid w:val="6CD6702A"/>
    <w:rsid w:val="6CDA72FE"/>
    <w:rsid w:val="6CDB5A2A"/>
    <w:rsid w:val="6CE756D0"/>
    <w:rsid w:val="6CF0378A"/>
    <w:rsid w:val="6D06792F"/>
    <w:rsid w:val="6D0A162F"/>
    <w:rsid w:val="6D1906F5"/>
    <w:rsid w:val="6D192E27"/>
    <w:rsid w:val="6D232C90"/>
    <w:rsid w:val="6D2D1A8D"/>
    <w:rsid w:val="6D2D557D"/>
    <w:rsid w:val="6D3E2D99"/>
    <w:rsid w:val="6D3F1317"/>
    <w:rsid w:val="6D452634"/>
    <w:rsid w:val="6D4A58A3"/>
    <w:rsid w:val="6D4B68EC"/>
    <w:rsid w:val="6D5C627B"/>
    <w:rsid w:val="6D681EA4"/>
    <w:rsid w:val="6D750F93"/>
    <w:rsid w:val="6D76726E"/>
    <w:rsid w:val="6D77432C"/>
    <w:rsid w:val="6D7D1AC3"/>
    <w:rsid w:val="6D815C50"/>
    <w:rsid w:val="6D91378F"/>
    <w:rsid w:val="6DA0407C"/>
    <w:rsid w:val="6DA24346"/>
    <w:rsid w:val="6DB32EBA"/>
    <w:rsid w:val="6DBA7E68"/>
    <w:rsid w:val="6DBF0696"/>
    <w:rsid w:val="6DD05B97"/>
    <w:rsid w:val="6DD23DE9"/>
    <w:rsid w:val="6DD62CFA"/>
    <w:rsid w:val="6DDA6949"/>
    <w:rsid w:val="6DE16B73"/>
    <w:rsid w:val="6DE61C05"/>
    <w:rsid w:val="6DEC5AC7"/>
    <w:rsid w:val="6E02368D"/>
    <w:rsid w:val="6E1942EC"/>
    <w:rsid w:val="6E236350"/>
    <w:rsid w:val="6E2416DB"/>
    <w:rsid w:val="6E2573F2"/>
    <w:rsid w:val="6E2B11E4"/>
    <w:rsid w:val="6E3302DE"/>
    <w:rsid w:val="6E353B30"/>
    <w:rsid w:val="6E353E42"/>
    <w:rsid w:val="6E447E57"/>
    <w:rsid w:val="6E4A2B2A"/>
    <w:rsid w:val="6E512243"/>
    <w:rsid w:val="6E5D6250"/>
    <w:rsid w:val="6E7A5781"/>
    <w:rsid w:val="6EA85D0E"/>
    <w:rsid w:val="6EB03D25"/>
    <w:rsid w:val="6EC20E5D"/>
    <w:rsid w:val="6EC26FD9"/>
    <w:rsid w:val="6EC67286"/>
    <w:rsid w:val="6ED44793"/>
    <w:rsid w:val="6ED7763C"/>
    <w:rsid w:val="6EDB1E15"/>
    <w:rsid w:val="6EE575C0"/>
    <w:rsid w:val="6EEC225F"/>
    <w:rsid w:val="6EF632B9"/>
    <w:rsid w:val="6EFB2B08"/>
    <w:rsid w:val="6EFB6912"/>
    <w:rsid w:val="6EFC3116"/>
    <w:rsid w:val="6F0303A8"/>
    <w:rsid w:val="6F0C63D7"/>
    <w:rsid w:val="6F0E6EA0"/>
    <w:rsid w:val="6F0E7B8B"/>
    <w:rsid w:val="6F24560B"/>
    <w:rsid w:val="6F276BB0"/>
    <w:rsid w:val="6F292DE9"/>
    <w:rsid w:val="6F3B5656"/>
    <w:rsid w:val="6F4603C3"/>
    <w:rsid w:val="6F4A06CE"/>
    <w:rsid w:val="6F4F5612"/>
    <w:rsid w:val="6F6408C5"/>
    <w:rsid w:val="6F653AC8"/>
    <w:rsid w:val="6F6A4079"/>
    <w:rsid w:val="6F6F34A0"/>
    <w:rsid w:val="6F8A5F78"/>
    <w:rsid w:val="6F91219D"/>
    <w:rsid w:val="6FA70BA7"/>
    <w:rsid w:val="6FA73D05"/>
    <w:rsid w:val="6FAE414C"/>
    <w:rsid w:val="6FAF1C9C"/>
    <w:rsid w:val="6FB35B84"/>
    <w:rsid w:val="6FB7533C"/>
    <w:rsid w:val="6FBC5562"/>
    <w:rsid w:val="6FBD44AB"/>
    <w:rsid w:val="6FC3D37A"/>
    <w:rsid w:val="6FC61949"/>
    <w:rsid w:val="6FCE771B"/>
    <w:rsid w:val="6FCF9C83"/>
    <w:rsid w:val="6FD14A24"/>
    <w:rsid w:val="6FD80473"/>
    <w:rsid w:val="6FD842D4"/>
    <w:rsid w:val="6FE0254F"/>
    <w:rsid w:val="6FE66281"/>
    <w:rsid w:val="6FE82829"/>
    <w:rsid w:val="6FF80816"/>
    <w:rsid w:val="6FFF4135"/>
    <w:rsid w:val="6FFF7875"/>
    <w:rsid w:val="70051FC3"/>
    <w:rsid w:val="700C4781"/>
    <w:rsid w:val="70105602"/>
    <w:rsid w:val="701168CC"/>
    <w:rsid w:val="70134DF9"/>
    <w:rsid w:val="70160D3D"/>
    <w:rsid w:val="702A21C5"/>
    <w:rsid w:val="702C4D68"/>
    <w:rsid w:val="702E56D9"/>
    <w:rsid w:val="703B4AA7"/>
    <w:rsid w:val="703F1AC5"/>
    <w:rsid w:val="705642DC"/>
    <w:rsid w:val="7062438A"/>
    <w:rsid w:val="708360A6"/>
    <w:rsid w:val="708F0A11"/>
    <w:rsid w:val="709A3E10"/>
    <w:rsid w:val="70B174B8"/>
    <w:rsid w:val="70B87F99"/>
    <w:rsid w:val="70C06311"/>
    <w:rsid w:val="70C37DFF"/>
    <w:rsid w:val="70C96CF0"/>
    <w:rsid w:val="70CF0F88"/>
    <w:rsid w:val="70D1148B"/>
    <w:rsid w:val="70D51886"/>
    <w:rsid w:val="70DA2E28"/>
    <w:rsid w:val="70DC51AC"/>
    <w:rsid w:val="70F72D6E"/>
    <w:rsid w:val="71154DE5"/>
    <w:rsid w:val="712C2A4B"/>
    <w:rsid w:val="712F05D2"/>
    <w:rsid w:val="712F4884"/>
    <w:rsid w:val="7130470C"/>
    <w:rsid w:val="71431E1E"/>
    <w:rsid w:val="714A575C"/>
    <w:rsid w:val="714D5498"/>
    <w:rsid w:val="714E093C"/>
    <w:rsid w:val="71532FE3"/>
    <w:rsid w:val="716E4197"/>
    <w:rsid w:val="7177447D"/>
    <w:rsid w:val="717A412F"/>
    <w:rsid w:val="71910508"/>
    <w:rsid w:val="71942565"/>
    <w:rsid w:val="71956D10"/>
    <w:rsid w:val="719B00F1"/>
    <w:rsid w:val="719E1803"/>
    <w:rsid w:val="71D01A82"/>
    <w:rsid w:val="71D477D6"/>
    <w:rsid w:val="71D91572"/>
    <w:rsid w:val="71E329B9"/>
    <w:rsid w:val="71E36CE7"/>
    <w:rsid w:val="71F16E28"/>
    <w:rsid w:val="71FFFCB0"/>
    <w:rsid w:val="721459A1"/>
    <w:rsid w:val="721E6A2A"/>
    <w:rsid w:val="72365B47"/>
    <w:rsid w:val="723D7D7D"/>
    <w:rsid w:val="724A5D81"/>
    <w:rsid w:val="72516EA0"/>
    <w:rsid w:val="725415A5"/>
    <w:rsid w:val="72544005"/>
    <w:rsid w:val="725D01F5"/>
    <w:rsid w:val="72665D72"/>
    <w:rsid w:val="7285513E"/>
    <w:rsid w:val="728576DC"/>
    <w:rsid w:val="72A41103"/>
    <w:rsid w:val="72BD4DA1"/>
    <w:rsid w:val="72C20714"/>
    <w:rsid w:val="72C96AFD"/>
    <w:rsid w:val="72C96D9C"/>
    <w:rsid w:val="72DF2D54"/>
    <w:rsid w:val="72E74987"/>
    <w:rsid w:val="72F36F06"/>
    <w:rsid w:val="72F42BA6"/>
    <w:rsid w:val="72F96FC3"/>
    <w:rsid w:val="72FA494D"/>
    <w:rsid w:val="730243B3"/>
    <w:rsid w:val="731044FE"/>
    <w:rsid w:val="7321765C"/>
    <w:rsid w:val="73337CF8"/>
    <w:rsid w:val="73391467"/>
    <w:rsid w:val="734202CC"/>
    <w:rsid w:val="734A78BD"/>
    <w:rsid w:val="73534DF4"/>
    <w:rsid w:val="736173E3"/>
    <w:rsid w:val="7363222B"/>
    <w:rsid w:val="736BBE8A"/>
    <w:rsid w:val="736C3816"/>
    <w:rsid w:val="736E68EE"/>
    <w:rsid w:val="736F76A9"/>
    <w:rsid w:val="73702680"/>
    <w:rsid w:val="73721F07"/>
    <w:rsid w:val="737A7603"/>
    <w:rsid w:val="737D693A"/>
    <w:rsid w:val="73851FCC"/>
    <w:rsid w:val="73872ED1"/>
    <w:rsid w:val="738F1601"/>
    <w:rsid w:val="73992BDC"/>
    <w:rsid w:val="73A40A5F"/>
    <w:rsid w:val="73A47EFB"/>
    <w:rsid w:val="73AA0B80"/>
    <w:rsid w:val="73BD0ECB"/>
    <w:rsid w:val="73C42BD2"/>
    <w:rsid w:val="73C4341B"/>
    <w:rsid w:val="73D87220"/>
    <w:rsid w:val="73E16E48"/>
    <w:rsid w:val="73F77ED0"/>
    <w:rsid w:val="73FD1FE1"/>
    <w:rsid w:val="741920B7"/>
    <w:rsid w:val="741E030B"/>
    <w:rsid w:val="74274051"/>
    <w:rsid w:val="74374C5B"/>
    <w:rsid w:val="74394C16"/>
    <w:rsid w:val="74397B64"/>
    <w:rsid w:val="743F3350"/>
    <w:rsid w:val="744C4300"/>
    <w:rsid w:val="744E2606"/>
    <w:rsid w:val="74522ADD"/>
    <w:rsid w:val="74697489"/>
    <w:rsid w:val="747977F5"/>
    <w:rsid w:val="74885903"/>
    <w:rsid w:val="74940159"/>
    <w:rsid w:val="749B420B"/>
    <w:rsid w:val="74A305F8"/>
    <w:rsid w:val="74A7162A"/>
    <w:rsid w:val="74AE732D"/>
    <w:rsid w:val="74BF962F"/>
    <w:rsid w:val="74C16E5F"/>
    <w:rsid w:val="74E21D75"/>
    <w:rsid w:val="74EA7314"/>
    <w:rsid w:val="74F308E7"/>
    <w:rsid w:val="74F571EE"/>
    <w:rsid w:val="74FD89FA"/>
    <w:rsid w:val="750E6F22"/>
    <w:rsid w:val="751E3863"/>
    <w:rsid w:val="752A213B"/>
    <w:rsid w:val="752D76AD"/>
    <w:rsid w:val="75322F2D"/>
    <w:rsid w:val="75367523"/>
    <w:rsid w:val="753B0AEC"/>
    <w:rsid w:val="753E466F"/>
    <w:rsid w:val="753E4AFA"/>
    <w:rsid w:val="7542471E"/>
    <w:rsid w:val="75473288"/>
    <w:rsid w:val="754D1042"/>
    <w:rsid w:val="75522E53"/>
    <w:rsid w:val="7552701E"/>
    <w:rsid w:val="755C2C58"/>
    <w:rsid w:val="75695BFE"/>
    <w:rsid w:val="756E6671"/>
    <w:rsid w:val="757C09D4"/>
    <w:rsid w:val="75867A8C"/>
    <w:rsid w:val="75A77B96"/>
    <w:rsid w:val="75D65EDE"/>
    <w:rsid w:val="75D82A72"/>
    <w:rsid w:val="75E0573C"/>
    <w:rsid w:val="75E746A2"/>
    <w:rsid w:val="75F23D58"/>
    <w:rsid w:val="75F26586"/>
    <w:rsid w:val="75F87521"/>
    <w:rsid w:val="75FA0B70"/>
    <w:rsid w:val="75FC11D4"/>
    <w:rsid w:val="76047A8D"/>
    <w:rsid w:val="760E6B9C"/>
    <w:rsid w:val="76104166"/>
    <w:rsid w:val="761E370C"/>
    <w:rsid w:val="761F36C5"/>
    <w:rsid w:val="762D665B"/>
    <w:rsid w:val="76381FAB"/>
    <w:rsid w:val="7659180D"/>
    <w:rsid w:val="76645AE7"/>
    <w:rsid w:val="766A66DC"/>
    <w:rsid w:val="766D37EB"/>
    <w:rsid w:val="76805D33"/>
    <w:rsid w:val="76B76559"/>
    <w:rsid w:val="76C1748B"/>
    <w:rsid w:val="76CB66C2"/>
    <w:rsid w:val="76D71B2F"/>
    <w:rsid w:val="76D72961"/>
    <w:rsid w:val="76DA28C5"/>
    <w:rsid w:val="76DE63E9"/>
    <w:rsid w:val="76E97048"/>
    <w:rsid w:val="76F10225"/>
    <w:rsid w:val="76F52A70"/>
    <w:rsid w:val="76F84648"/>
    <w:rsid w:val="76FF4AF8"/>
    <w:rsid w:val="77040F13"/>
    <w:rsid w:val="77267F29"/>
    <w:rsid w:val="772B0E02"/>
    <w:rsid w:val="772B14B3"/>
    <w:rsid w:val="77361D8F"/>
    <w:rsid w:val="77374304"/>
    <w:rsid w:val="773F6B8B"/>
    <w:rsid w:val="77685CA5"/>
    <w:rsid w:val="777164C4"/>
    <w:rsid w:val="777B683C"/>
    <w:rsid w:val="777F1F8A"/>
    <w:rsid w:val="778D3DC9"/>
    <w:rsid w:val="778F53C8"/>
    <w:rsid w:val="779F1CFE"/>
    <w:rsid w:val="77A340AF"/>
    <w:rsid w:val="77C03ECA"/>
    <w:rsid w:val="77DF0FAF"/>
    <w:rsid w:val="77FC7EA1"/>
    <w:rsid w:val="77FE6ABB"/>
    <w:rsid w:val="77FE7F0C"/>
    <w:rsid w:val="77FF48A2"/>
    <w:rsid w:val="78030BB3"/>
    <w:rsid w:val="780C4D7B"/>
    <w:rsid w:val="78183D62"/>
    <w:rsid w:val="781E5BB3"/>
    <w:rsid w:val="78291A3D"/>
    <w:rsid w:val="78376779"/>
    <w:rsid w:val="7840644C"/>
    <w:rsid w:val="78665DAD"/>
    <w:rsid w:val="78684E9D"/>
    <w:rsid w:val="78693128"/>
    <w:rsid w:val="786B0114"/>
    <w:rsid w:val="788526FC"/>
    <w:rsid w:val="7892385A"/>
    <w:rsid w:val="789325A8"/>
    <w:rsid w:val="789C5CC2"/>
    <w:rsid w:val="78B22689"/>
    <w:rsid w:val="78B55E40"/>
    <w:rsid w:val="78BD011C"/>
    <w:rsid w:val="78CF013E"/>
    <w:rsid w:val="78D41BC4"/>
    <w:rsid w:val="78D7123D"/>
    <w:rsid w:val="78E45DC5"/>
    <w:rsid w:val="78E74107"/>
    <w:rsid w:val="78E829E1"/>
    <w:rsid w:val="78FC0DB2"/>
    <w:rsid w:val="7911492F"/>
    <w:rsid w:val="792546E2"/>
    <w:rsid w:val="79254E6A"/>
    <w:rsid w:val="79292660"/>
    <w:rsid w:val="79424D71"/>
    <w:rsid w:val="794A4ACB"/>
    <w:rsid w:val="794F2780"/>
    <w:rsid w:val="79626993"/>
    <w:rsid w:val="7969335E"/>
    <w:rsid w:val="79707EB6"/>
    <w:rsid w:val="797A3158"/>
    <w:rsid w:val="79936416"/>
    <w:rsid w:val="79952E86"/>
    <w:rsid w:val="79956DF5"/>
    <w:rsid w:val="799F18BD"/>
    <w:rsid w:val="79A55046"/>
    <w:rsid w:val="79A9542E"/>
    <w:rsid w:val="79B67472"/>
    <w:rsid w:val="79BE5DE1"/>
    <w:rsid w:val="79BF9D52"/>
    <w:rsid w:val="79D65E05"/>
    <w:rsid w:val="79D82C2E"/>
    <w:rsid w:val="79D83551"/>
    <w:rsid w:val="79E14A6C"/>
    <w:rsid w:val="79E24263"/>
    <w:rsid w:val="79EC6D20"/>
    <w:rsid w:val="79F04129"/>
    <w:rsid w:val="79F21FD8"/>
    <w:rsid w:val="7A044F5E"/>
    <w:rsid w:val="7A0716CA"/>
    <w:rsid w:val="7A114BB5"/>
    <w:rsid w:val="7A14656B"/>
    <w:rsid w:val="7A212758"/>
    <w:rsid w:val="7A246641"/>
    <w:rsid w:val="7A3005C8"/>
    <w:rsid w:val="7A3A5233"/>
    <w:rsid w:val="7A495661"/>
    <w:rsid w:val="7A4A2D6F"/>
    <w:rsid w:val="7A4D6899"/>
    <w:rsid w:val="7A5868E1"/>
    <w:rsid w:val="7A5B2A7E"/>
    <w:rsid w:val="7A654EF0"/>
    <w:rsid w:val="7A755AD2"/>
    <w:rsid w:val="7A7F5660"/>
    <w:rsid w:val="7A827221"/>
    <w:rsid w:val="7A9149C4"/>
    <w:rsid w:val="7A930150"/>
    <w:rsid w:val="7A972572"/>
    <w:rsid w:val="7AA253BA"/>
    <w:rsid w:val="7AA34AEB"/>
    <w:rsid w:val="7ACE61F9"/>
    <w:rsid w:val="7ADE6CE8"/>
    <w:rsid w:val="7AEB63DD"/>
    <w:rsid w:val="7AF32198"/>
    <w:rsid w:val="7B0B6E35"/>
    <w:rsid w:val="7B17071C"/>
    <w:rsid w:val="7B2923C0"/>
    <w:rsid w:val="7B2D4E59"/>
    <w:rsid w:val="7B3E404B"/>
    <w:rsid w:val="7B3E6F0C"/>
    <w:rsid w:val="7B487574"/>
    <w:rsid w:val="7B5B03C8"/>
    <w:rsid w:val="7B5DE816"/>
    <w:rsid w:val="7B677818"/>
    <w:rsid w:val="7B742FC3"/>
    <w:rsid w:val="7B7C2D50"/>
    <w:rsid w:val="7B7CDA7C"/>
    <w:rsid w:val="7B8332C5"/>
    <w:rsid w:val="7B933A33"/>
    <w:rsid w:val="7B9B5776"/>
    <w:rsid w:val="7BB87E91"/>
    <w:rsid w:val="7BBA4C6D"/>
    <w:rsid w:val="7BBF4A63"/>
    <w:rsid w:val="7BBF7B42"/>
    <w:rsid w:val="7BC47370"/>
    <w:rsid w:val="7BD7656F"/>
    <w:rsid w:val="7BDF3BB5"/>
    <w:rsid w:val="7BE85532"/>
    <w:rsid w:val="7BED1AFB"/>
    <w:rsid w:val="7BF521EB"/>
    <w:rsid w:val="7BF65A76"/>
    <w:rsid w:val="7BF85ABA"/>
    <w:rsid w:val="7C090308"/>
    <w:rsid w:val="7C1526D4"/>
    <w:rsid w:val="7C257F05"/>
    <w:rsid w:val="7C4E781C"/>
    <w:rsid w:val="7C521E57"/>
    <w:rsid w:val="7C563743"/>
    <w:rsid w:val="7C5B29CF"/>
    <w:rsid w:val="7C6D5ED6"/>
    <w:rsid w:val="7C7F0437"/>
    <w:rsid w:val="7C875361"/>
    <w:rsid w:val="7C89082E"/>
    <w:rsid w:val="7C914D06"/>
    <w:rsid w:val="7C9E7D96"/>
    <w:rsid w:val="7CA2276B"/>
    <w:rsid w:val="7CB67DC0"/>
    <w:rsid w:val="7CBD1EC8"/>
    <w:rsid w:val="7CD25978"/>
    <w:rsid w:val="7CEC5ADC"/>
    <w:rsid w:val="7CFA373E"/>
    <w:rsid w:val="7CFA3CFB"/>
    <w:rsid w:val="7D000B73"/>
    <w:rsid w:val="7D0047C2"/>
    <w:rsid w:val="7D3D38AB"/>
    <w:rsid w:val="7D413779"/>
    <w:rsid w:val="7D482750"/>
    <w:rsid w:val="7D4E1D3F"/>
    <w:rsid w:val="7D4F55E2"/>
    <w:rsid w:val="7D53546D"/>
    <w:rsid w:val="7D5B5F94"/>
    <w:rsid w:val="7D6008FC"/>
    <w:rsid w:val="7D626802"/>
    <w:rsid w:val="7D696143"/>
    <w:rsid w:val="7D6A3585"/>
    <w:rsid w:val="7D6A45A3"/>
    <w:rsid w:val="7D7B394F"/>
    <w:rsid w:val="7D810AC9"/>
    <w:rsid w:val="7D856862"/>
    <w:rsid w:val="7D8953D3"/>
    <w:rsid w:val="7D8B14DE"/>
    <w:rsid w:val="7D8B6855"/>
    <w:rsid w:val="7D9B3509"/>
    <w:rsid w:val="7D9F0D2B"/>
    <w:rsid w:val="7D9F2B6E"/>
    <w:rsid w:val="7D9F62FE"/>
    <w:rsid w:val="7DB4614C"/>
    <w:rsid w:val="7DBF1D7F"/>
    <w:rsid w:val="7DC9253D"/>
    <w:rsid w:val="7DE37918"/>
    <w:rsid w:val="7DEF0CF7"/>
    <w:rsid w:val="7DF232D8"/>
    <w:rsid w:val="7DF44714"/>
    <w:rsid w:val="7DFC6FC2"/>
    <w:rsid w:val="7DFDC82B"/>
    <w:rsid w:val="7DFF7ABB"/>
    <w:rsid w:val="7E084E22"/>
    <w:rsid w:val="7E0C1F87"/>
    <w:rsid w:val="7E135DA3"/>
    <w:rsid w:val="7E143A57"/>
    <w:rsid w:val="7E175904"/>
    <w:rsid w:val="7E2D3630"/>
    <w:rsid w:val="7E2F2179"/>
    <w:rsid w:val="7E314AA9"/>
    <w:rsid w:val="7E3225E2"/>
    <w:rsid w:val="7E352319"/>
    <w:rsid w:val="7E564D83"/>
    <w:rsid w:val="7E62762C"/>
    <w:rsid w:val="7E691AAA"/>
    <w:rsid w:val="7E755EAD"/>
    <w:rsid w:val="7E784DF4"/>
    <w:rsid w:val="7E7E54AA"/>
    <w:rsid w:val="7E81350D"/>
    <w:rsid w:val="7E8C5D3C"/>
    <w:rsid w:val="7EA51811"/>
    <w:rsid w:val="7EA521AD"/>
    <w:rsid w:val="7EB37EC7"/>
    <w:rsid w:val="7EB52EE8"/>
    <w:rsid w:val="7EBC6F95"/>
    <w:rsid w:val="7ECE76CB"/>
    <w:rsid w:val="7ED14D09"/>
    <w:rsid w:val="7ED61DC6"/>
    <w:rsid w:val="7EDC7F0A"/>
    <w:rsid w:val="7EFB97E3"/>
    <w:rsid w:val="7EFC08FE"/>
    <w:rsid w:val="7EFC1A7B"/>
    <w:rsid w:val="7F0F5438"/>
    <w:rsid w:val="7F116418"/>
    <w:rsid w:val="7F26412C"/>
    <w:rsid w:val="7F2E2C68"/>
    <w:rsid w:val="7F331D30"/>
    <w:rsid w:val="7F345D5C"/>
    <w:rsid w:val="7F37282D"/>
    <w:rsid w:val="7F4718C5"/>
    <w:rsid w:val="7F491102"/>
    <w:rsid w:val="7F5157A1"/>
    <w:rsid w:val="7F557C58"/>
    <w:rsid w:val="7F575AF6"/>
    <w:rsid w:val="7F5D41F3"/>
    <w:rsid w:val="7F610DEC"/>
    <w:rsid w:val="7F674E50"/>
    <w:rsid w:val="7F6C669C"/>
    <w:rsid w:val="7F73C347"/>
    <w:rsid w:val="7F786BAE"/>
    <w:rsid w:val="7F7A36CC"/>
    <w:rsid w:val="7F8117EC"/>
    <w:rsid w:val="7F817243"/>
    <w:rsid w:val="7F8F3A6E"/>
    <w:rsid w:val="7F9E0549"/>
    <w:rsid w:val="7FA42036"/>
    <w:rsid w:val="7FAFD348"/>
    <w:rsid w:val="7FC9636E"/>
    <w:rsid w:val="7FCD746C"/>
    <w:rsid w:val="7FCFFCA8"/>
    <w:rsid w:val="7FD81D4E"/>
    <w:rsid w:val="7FD952F0"/>
    <w:rsid w:val="7FDD07D9"/>
    <w:rsid w:val="7FDFC90F"/>
    <w:rsid w:val="7FE02A21"/>
    <w:rsid w:val="7FED0E7C"/>
    <w:rsid w:val="7FEEE91C"/>
    <w:rsid w:val="7FF47517"/>
    <w:rsid w:val="7FF6033D"/>
    <w:rsid w:val="7FF72209"/>
    <w:rsid w:val="7FFBD1D8"/>
    <w:rsid w:val="7FFFB3A7"/>
    <w:rsid w:val="87474D50"/>
    <w:rsid w:val="8DD929AA"/>
    <w:rsid w:val="8FBB93DF"/>
    <w:rsid w:val="97FBCF7C"/>
    <w:rsid w:val="9B5AEDAD"/>
    <w:rsid w:val="A2FC9F3C"/>
    <w:rsid w:val="A4DF31AE"/>
    <w:rsid w:val="A4E9D657"/>
    <w:rsid w:val="A7C50C56"/>
    <w:rsid w:val="AFFB4077"/>
    <w:rsid w:val="B3FD86C3"/>
    <w:rsid w:val="B57E9C87"/>
    <w:rsid w:val="B9FA215C"/>
    <w:rsid w:val="BA6B3AD1"/>
    <w:rsid w:val="BAD3FEC7"/>
    <w:rsid w:val="BB7F95A2"/>
    <w:rsid w:val="BBB06793"/>
    <w:rsid w:val="BBBD34C7"/>
    <w:rsid w:val="BBFD303E"/>
    <w:rsid w:val="BBFE2615"/>
    <w:rsid w:val="BCFA96A6"/>
    <w:rsid w:val="BDFB76E4"/>
    <w:rsid w:val="BE7B1CBA"/>
    <w:rsid w:val="BEB776BC"/>
    <w:rsid w:val="BFDEC948"/>
    <w:rsid w:val="BFEA743F"/>
    <w:rsid w:val="C3B2F161"/>
    <w:rsid w:val="D3E78189"/>
    <w:rsid w:val="D7DFAF31"/>
    <w:rsid w:val="D7FF5BB8"/>
    <w:rsid w:val="DAE728B2"/>
    <w:rsid w:val="DAF53A63"/>
    <w:rsid w:val="DBFF15F1"/>
    <w:rsid w:val="DCCD0761"/>
    <w:rsid w:val="DDEE0343"/>
    <w:rsid w:val="DDFD04C0"/>
    <w:rsid w:val="DEDEF67B"/>
    <w:rsid w:val="DEFF54CF"/>
    <w:rsid w:val="DF8D506F"/>
    <w:rsid w:val="DFB7ADE8"/>
    <w:rsid w:val="E565BBFE"/>
    <w:rsid w:val="E57DAC41"/>
    <w:rsid w:val="E65D56E5"/>
    <w:rsid w:val="E6BFE056"/>
    <w:rsid w:val="E7AF1769"/>
    <w:rsid w:val="E86C7C36"/>
    <w:rsid w:val="EBFF5110"/>
    <w:rsid w:val="EDFF6536"/>
    <w:rsid w:val="EFDE1C15"/>
    <w:rsid w:val="F5FAB3E5"/>
    <w:rsid w:val="F6C1D233"/>
    <w:rsid w:val="F6F3D786"/>
    <w:rsid w:val="F73FD475"/>
    <w:rsid w:val="F7BD0146"/>
    <w:rsid w:val="F89A84B8"/>
    <w:rsid w:val="F9796435"/>
    <w:rsid w:val="F9DF37B8"/>
    <w:rsid w:val="FA70B976"/>
    <w:rsid w:val="FAFE4109"/>
    <w:rsid w:val="FB9A78FE"/>
    <w:rsid w:val="FBCFF426"/>
    <w:rsid w:val="FBF303E3"/>
    <w:rsid w:val="FBF32178"/>
    <w:rsid w:val="FBFDB1D7"/>
    <w:rsid w:val="FBFEFE4E"/>
    <w:rsid w:val="FCE5E746"/>
    <w:rsid w:val="FCFD517F"/>
    <w:rsid w:val="FD3F879E"/>
    <w:rsid w:val="FD53E318"/>
    <w:rsid w:val="FD57D677"/>
    <w:rsid w:val="FDBE7091"/>
    <w:rsid w:val="FDDEF080"/>
    <w:rsid w:val="FE3631D5"/>
    <w:rsid w:val="FE7EEAF5"/>
    <w:rsid w:val="FEE7AEE7"/>
    <w:rsid w:val="FEEF4349"/>
    <w:rsid w:val="FF2E6AF1"/>
    <w:rsid w:val="FFBBF6C1"/>
    <w:rsid w:val="FFBDDFE2"/>
    <w:rsid w:val="FFDF0669"/>
    <w:rsid w:val="FFEF3032"/>
    <w:rsid w:val="FFF527FA"/>
    <w:rsid w:val="FFF7E6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3">
    <w:name w:val="heading 2"/>
    <w:basedOn w:val="2"/>
    <w:next w:val="1"/>
    <w:link w:val="65"/>
    <w:qFormat/>
    <w:uiPriority w:val="0"/>
    <w:pPr>
      <w:numPr>
        <w:ilvl w:val="1"/>
      </w:numPr>
      <w:pBdr>
        <w:top w:val="none" w:color="auto" w:sz="0" w:space="0"/>
      </w:pBdr>
      <w:spacing w:after="60"/>
      <w:outlineLvl w:val="1"/>
    </w:pPr>
    <w:rPr>
      <w:bCs/>
      <w:iCs/>
      <w:sz w:val="28"/>
      <w:szCs w:val="28"/>
    </w:rPr>
  </w:style>
  <w:style w:type="paragraph" w:styleId="4">
    <w:name w:val="heading 3"/>
    <w:basedOn w:val="1"/>
    <w:next w:val="1"/>
    <w:qFormat/>
    <w:uiPriority w:val="0"/>
    <w:pPr>
      <w:tabs>
        <w:tab w:val="left" w:pos="450"/>
      </w:tabs>
      <w:spacing w:after="240"/>
      <w:outlineLvl w:val="2"/>
    </w:pPr>
    <w:rPr>
      <w:rFonts w:cs="Arial"/>
      <w:sz w:val="24"/>
      <w:szCs w:val="26"/>
    </w:rPr>
  </w:style>
  <w:style w:type="paragraph" w:styleId="5">
    <w:name w:val="heading 4"/>
    <w:basedOn w:val="4"/>
    <w:next w:val="1"/>
    <w:qFormat/>
    <w:uiPriority w:val="0"/>
    <w:pPr>
      <w:spacing w:before="120" w:after="180"/>
      <w:ind w:left="1418" w:hanging="1418"/>
      <w:outlineLvl w:val="3"/>
    </w:pPr>
    <w:rPr>
      <w:rFonts w:cs="Times New Roman"/>
      <w:szCs w:val="20"/>
    </w:rPr>
  </w:style>
  <w:style w:type="paragraph" w:styleId="6">
    <w:name w:val="heading 5"/>
    <w:basedOn w:val="5"/>
    <w:next w:val="1"/>
    <w:qFormat/>
    <w:uiPriority w:val="0"/>
    <w:pPr>
      <w:spacing w:before="280" w:after="290" w:line="376" w:lineRule="auto"/>
      <w:outlineLvl w:val="4"/>
    </w:pPr>
    <w:rPr>
      <w:b/>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8">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caption"/>
    <w:basedOn w:val="1"/>
    <w:next w:val="1"/>
    <w:link w:val="54"/>
    <w:qFormat/>
    <w:uiPriority w:val="0"/>
    <w:rPr>
      <w:b/>
      <w:bCs/>
    </w:rPr>
  </w:style>
  <w:style w:type="paragraph" w:styleId="13">
    <w:name w:val="Document Map"/>
    <w:basedOn w:val="1"/>
    <w:semiHidden/>
    <w:qFormat/>
    <w:uiPriority w:val="0"/>
    <w:pPr>
      <w:shd w:val="clear" w:color="auto" w:fill="000080"/>
    </w:pPr>
  </w:style>
  <w:style w:type="paragraph" w:styleId="14">
    <w:name w:val="annotation text"/>
    <w:basedOn w:val="1"/>
    <w:link w:val="56"/>
    <w:semiHidden/>
    <w:qFormat/>
    <w:uiPriority w:val="0"/>
  </w:style>
  <w:style w:type="paragraph" w:styleId="15">
    <w:name w:val="Body Text"/>
    <w:basedOn w:val="1"/>
    <w:qFormat/>
    <w:uiPriority w:val="0"/>
    <w:pPr>
      <w:overflowPunct w:val="0"/>
      <w:autoSpaceDE w:val="0"/>
      <w:autoSpaceDN w:val="0"/>
      <w:adjustRightInd w:val="0"/>
      <w:spacing w:after="120"/>
      <w:textAlignment w:val="baseline"/>
    </w:pPr>
    <w:rPr>
      <w:rFonts w:eastAsia="MS Mincho"/>
    </w:rPr>
  </w:style>
  <w:style w:type="paragraph" w:styleId="16">
    <w:name w:val="List 2"/>
    <w:basedOn w:val="17"/>
    <w:qFormat/>
    <w:uiPriority w:val="0"/>
    <w:pPr>
      <w:tabs>
        <w:tab w:val="left" w:pos="425"/>
      </w:tabs>
      <w:ind w:left="100" w:leftChars="200" w:hanging="200" w:hangingChars="200"/>
    </w:pPr>
  </w:style>
  <w:style w:type="paragraph" w:styleId="17">
    <w:name w:val="List"/>
    <w:basedOn w:val="1"/>
    <w:qFormat/>
    <w:uiPriority w:val="0"/>
    <w:pPr>
      <w:tabs>
        <w:tab w:val="left" w:pos="425"/>
      </w:tabs>
      <w:ind w:left="425" w:hanging="425"/>
    </w:pPr>
  </w:style>
  <w:style w:type="paragraph" w:styleId="18">
    <w:name w:val="Balloon Text"/>
    <w:basedOn w:val="1"/>
    <w:semiHidden/>
    <w:qFormat/>
    <w:uiPriority w:val="0"/>
    <w:rPr>
      <w:rFonts w:ascii="Tahoma" w:hAnsi="Tahoma" w:cs="Tahoma"/>
      <w:sz w:val="16"/>
      <w:szCs w:val="16"/>
    </w:rPr>
  </w:style>
  <w:style w:type="paragraph" w:styleId="19">
    <w:name w:val="footer"/>
    <w:basedOn w:val="20"/>
    <w:qFormat/>
    <w:uiPriority w:val="0"/>
    <w:pPr>
      <w:jc w:val="center"/>
    </w:pPr>
    <w:rPr>
      <w:i/>
    </w:rPr>
  </w:style>
  <w:style w:type="paragraph" w:styleId="20">
    <w:name w:val="header"/>
    <w:link w:val="45"/>
    <w:qFormat/>
    <w:uiPriority w:val="0"/>
    <w:pPr>
      <w:widowControl w:val="0"/>
      <w:spacing w:after="160" w:line="259" w:lineRule="auto"/>
    </w:pPr>
    <w:rPr>
      <w:rFonts w:ascii="Arial" w:hAnsi="Arial" w:eastAsia="Times New Roman" w:cs="Times New Roman"/>
      <w:b/>
      <w:sz w:val="18"/>
      <w:lang w:val="en-GB" w:eastAsia="en-US" w:bidi="ar-SA"/>
    </w:rPr>
  </w:style>
  <w:style w:type="paragraph" w:styleId="21">
    <w:name w:val="List 5"/>
    <w:basedOn w:val="1"/>
    <w:qFormat/>
    <w:uiPriority w:val="0"/>
    <w:pPr>
      <w:ind w:left="100" w:leftChars="800" w:hanging="200" w:hangingChars="200"/>
    </w:pPr>
  </w:style>
  <w:style w:type="paragraph" w:styleId="22">
    <w:name w:val="List 4"/>
    <w:basedOn w:val="1"/>
    <w:qFormat/>
    <w:uiPriority w:val="0"/>
    <w:pPr>
      <w:ind w:left="100" w:leftChars="600" w:hanging="200" w:hangingChars="200"/>
    </w:pPr>
  </w:style>
  <w:style w:type="paragraph" w:styleId="23">
    <w:name w:val="Normal (Web)"/>
    <w:basedOn w:val="1"/>
    <w:unhideWhenUsed/>
    <w:qFormat/>
    <w:uiPriority w:val="0"/>
    <w:pPr>
      <w:spacing w:before="100" w:beforeAutospacing="1" w:after="100" w:afterAutospacing="1"/>
    </w:pPr>
    <w:rPr>
      <w:sz w:val="24"/>
      <w:szCs w:val="24"/>
      <w:lang w:val="en-US" w:eastAsia="zh-CN"/>
    </w:rPr>
  </w:style>
  <w:style w:type="paragraph" w:styleId="24">
    <w:name w:val="annotation subject"/>
    <w:basedOn w:val="14"/>
    <w:next w:val="14"/>
    <w:semiHidden/>
    <w:qFormat/>
    <w:uiPriority w:val="0"/>
    <w:rPr>
      <w:b/>
      <w:bCs/>
    </w:rPr>
  </w:style>
  <w:style w:type="table" w:styleId="26">
    <w:name w:val="Table Grid"/>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7">
    <w:name w:val="Table Theme"/>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basedOn w:val="28"/>
    <w:qFormat/>
    <w:uiPriority w:val="0"/>
    <w:rPr>
      <w:b/>
    </w:rPr>
  </w:style>
  <w:style w:type="character" w:styleId="30">
    <w:name w:val="page number"/>
    <w:basedOn w:val="28"/>
    <w:qFormat/>
    <w:uiPriority w:val="0"/>
  </w:style>
  <w:style w:type="character" w:styleId="31">
    <w:name w:val="FollowedHyperlink"/>
    <w:qFormat/>
    <w:uiPriority w:val="0"/>
    <w:rPr>
      <w:color w:val="800080"/>
      <w:u w:val="single"/>
    </w:rPr>
  </w:style>
  <w:style w:type="character" w:styleId="32">
    <w:name w:val="Emphasis"/>
    <w:qFormat/>
    <w:uiPriority w:val="0"/>
    <w:rPr>
      <w:i/>
      <w:iCs/>
    </w:rPr>
  </w:style>
  <w:style w:type="character" w:styleId="33">
    <w:name w:val="Hyperlink"/>
    <w:qFormat/>
    <w:uiPriority w:val="99"/>
    <w:rPr>
      <w:color w:val="0000FF"/>
      <w:u w:val="single"/>
    </w:rPr>
  </w:style>
  <w:style w:type="character" w:styleId="34">
    <w:name w:val="annotation reference"/>
    <w:semiHidden/>
    <w:qFormat/>
    <w:uiPriority w:val="0"/>
    <w:rPr>
      <w:sz w:val="21"/>
      <w:szCs w:val="21"/>
    </w:rPr>
  </w:style>
  <w:style w:type="character" w:customStyle="1" w:styleId="35">
    <w:name w:val="PL Char"/>
    <w:link w:val="36"/>
    <w:qFormat/>
    <w:uiPriority w:val="0"/>
    <w:rPr>
      <w:rFonts w:ascii="Courier New" w:hAnsi="Courier New" w:eastAsia="宋体"/>
      <w:sz w:val="16"/>
      <w:lang w:val="en-GB" w:eastAsia="en-US" w:bidi="ar-SA"/>
    </w:rPr>
  </w:style>
  <w:style w:type="paragraph" w:customStyle="1" w:styleId="36">
    <w:name w:val="PL"/>
    <w:link w:val="3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37">
    <w:name w:val="Doc-text2 Char"/>
    <w:link w:val="38"/>
    <w:qFormat/>
    <w:uiPriority w:val="0"/>
    <w:rPr>
      <w:rFonts w:ascii="Arial" w:hAnsi="Arial"/>
      <w:szCs w:val="24"/>
      <w:lang w:val="en-GB" w:eastAsia="en-GB"/>
    </w:rPr>
  </w:style>
  <w:style w:type="paragraph" w:customStyle="1" w:styleId="38">
    <w:name w:val="Doc-text2"/>
    <w:basedOn w:val="1"/>
    <w:link w:val="37"/>
    <w:qFormat/>
    <w:uiPriority w:val="0"/>
    <w:pPr>
      <w:tabs>
        <w:tab w:val="left" w:pos="1622"/>
      </w:tabs>
      <w:spacing w:after="0"/>
      <w:ind w:left="1622" w:hanging="363"/>
    </w:pPr>
    <w:rPr>
      <w:rFonts w:ascii="Arial" w:hAnsi="Arial" w:eastAsia="MS Mincho"/>
      <w:szCs w:val="24"/>
      <w:lang w:eastAsia="en-GB"/>
    </w:rPr>
  </w:style>
  <w:style w:type="character" w:customStyle="1" w:styleId="39">
    <w:name w:val="B4 Char"/>
    <w:link w:val="40"/>
    <w:qFormat/>
    <w:uiPriority w:val="0"/>
    <w:rPr>
      <w:rFonts w:eastAsia="宋体"/>
      <w:lang w:val="en-GB" w:eastAsia="en-US" w:bidi="ar-SA"/>
    </w:rPr>
  </w:style>
  <w:style w:type="paragraph" w:customStyle="1" w:styleId="40">
    <w:name w:val="B4"/>
    <w:basedOn w:val="22"/>
    <w:link w:val="39"/>
    <w:qFormat/>
    <w:uiPriority w:val="0"/>
    <w:pPr>
      <w:ind w:left="1418" w:leftChars="0" w:hanging="284" w:firstLineChars="0"/>
    </w:pPr>
    <w:rPr>
      <w:rFonts w:eastAsia="宋体"/>
    </w:rPr>
  </w:style>
  <w:style w:type="character" w:customStyle="1" w:styleId="41">
    <w:name w:val="TAL Char Char Char"/>
    <w:link w:val="42"/>
    <w:qFormat/>
    <w:uiPriority w:val="0"/>
    <w:rPr>
      <w:rFonts w:ascii="Arial" w:hAnsi="Arial" w:eastAsia="宋体"/>
      <w:sz w:val="18"/>
      <w:lang w:val="en-GB" w:eastAsia="en-US" w:bidi="ar-SA"/>
    </w:rPr>
  </w:style>
  <w:style w:type="paragraph" w:customStyle="1" w:styleId="42">
    <w:name w:val="TAL Char Char"/>
    <w:basedOn w:val="1"/>
    <w:link w:val="41"/>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3">
    <w:name w:val="TAL Char"/>
    <w:qFormat/>
    <w:uiPriority w:val="0"/>
    <w:rPr>
      <w:rFonts w:ascii="Arial" w:hAnsi="Arial"/>
      <w:sz w:val="18"/>
      <w:lang w:val="en-GB" w:eastAsia="en-GB" w:bidi="ar-SA"/>
    </w:rPr>
  </w:style>
  <w:style w:type="character" w:customStyle="1" w:styleId="44">
    <w:name w:val="B1 Char"/>
    <w:qFormat/>
    <w:uiPriority w:val="0"/>
    <w:rPr>
      <w:rFonts w:eastAsia="MS Mincho"/>
      <w:lang w:val="en-GB" w:eastAsia="en-US" w:bidi="ar-SA"/>
    </w:rPr>
  </w:style>
  <w:style w:type="character" w:customStyle="1" w:styleId="45">
    <w:name w:val="页眉 Char"/>
    <w:link w:val="20"/>
    <w:qFormat/>
    <w:uiPriority w:val="0"/>
    <w:rPr>
      <w:rFonts w:ascii="Arial" w:hAnsi="Arial" w:eastAsia="Times New Roman"/>
      <w:b/>
      <w:sz w:val="18"/>
      <w:lang w:val="en-GB" w:eastAsia="en-US" w:bidi="ar-SA"/>
    </w:rPr>
  </w:style>
  <w:style w:type="character" w:customStyle="1" w:styleId="46">
    <w:name w:val="TAH Car"/>
    <w:link w:val="47"/>
    <w:qFormat/>
    <w:uiPriority w:val="0"/>
    <w:rPr>
      <w:rFonts w:ascii="Arial" w:hAnsi="Arial" w:eastAsia="宋体"/>
      <w:b/>
      <w:sz w:val="18"/>
      <w:lang w:val="en-GB" w:eastAsia="en-US"/>
    </w:rPr>
  </w:style>
  <w:style w:type="paragraph" w:customStyle="1" w:styleId="47">
    <w:name w:val="TAH"/>
    <w:basedOn w:val="48"/>
    <w:link w:val="46"/>
    <w:qFormat/>
    <w:uiPriority w:val="0"/>
    <w:rPr>
      <w:b/>
    </w:rPr>
  </w:style>
  <w:style w:type="paragraph" w:customStyle="1" w:styleId="48">
    <w:name w:val="TAC"/>
    <w:basedOn w:val="49"/>
    <w:link w:val="64"/>
    <w:qFormat/>
    <w:uiPriority w:val="0"/>
    <w:pPr>
      <w:jc w:val="center"/>
    </w:pPr>
  </w:style>
  <w:style w:type="paragraph" w:customStyle="1" w:styleId="49">
    <w:name w:val="TAL"/>
    <w:basedOn w:val="1"/>
    <w:link w:val="77"/>
    <w:qFormat/>
    <w:uiPriority w:val="0"/>
    <w:pPr>
      <w:keepNext/>
      <w:keepLines/>
      <w:spacing w:after="0"/>
    </w:pPr>
    <w:rPr>
      <w:rFonts w:ascii="Arial" w:hAnsi="Arial" w:eastAsia="宋体"/>
      <w:sz w:val="18"/>
    </w:rPr>
  </w:style>
  <w:style w:type="character" w:customStyle="1" w:styleId="50">
    <w:name w:val="B1 Char1"/>
    <w:link w:val="51"/>
    <w:qFormat/>
    <w:uiPriority w:val="0"/>
    <w:rPr>
      <w:rFonts w:eastAsia="宋体"/>
      <w:lang w:val="en-GB" w:eastAsia="en-US"/>
    </w:rPr>
  </w:style>
  <w:style w:type="paragraph" w:customStyle="1" w:styleId="51">
    <w:name w:val="B1"/>
    <w:basedOn w:val="17"/>
    <w:link w:val="50"/>
    <w:qFormat/>
    <w:uiPriority w:val="0"/>
    <w:pPr>
      <w:ind w:left="568" w:hanging="284"/>
    </w:pPr>
    <w:rPr>
      <w:rFonts w:eastAsia="宋体"/>
    </w:rPr>
  </w:style>
  <w:style w:type="character" w:customStyle="1" w:styleId="52">
    <w:name w:val="Comments Char"/>
    <w:qFormat/>
    <w:uiPriority w:val="0"/>
    <w:rPr>
      <w:rFonts w:ascii="Arial" w:hAnsi="Arial" w:eastAsia="MS Mincho" w:cs="Times New Roman"/>
      <w:i/>
      <w:sz w:val="24"/>
      <w:szCs w:val="24"/>
      <w:lang w:val="en-GB" w:eastAsia="en-GB"/>
    </w:rPr>
  </w:style>
  <w:style w:type="character" w:customStyle="1" w:styleId="53">
    <w:name w:val="Comments"/>
    <w:qFormat/>
    <w:uiPriority w:val="0"/>
    <w:rPr>
      <w:i/>
      <w:iCs/>
      <w:sz w:val="16"/>
    </w:rPr>
  </w:style>
  <w:style w:type="character" w:customStyle="1" w:styleId="54">
    <w:name w:val="题注 Char"/>
    <w:link w:val="12"/>
    <w:qFormat/>
    <w:uiPriority w:val="0"/>
    <w:rPr>
      <w:rFonts w:eastAsia="Times New Roman"/>
      <w:b/>
      <w:bCs/>
      <w:lang w:val="en-GB" w:eastAsia="en-US"/>
    </w:rPr>
  </w:style>
  <w:style w:type="character" w:customStyle="1" w:styleId="55">
    <w:name w:val="highlight"/>
    <w:basedOn w:val="28"/>
    <w:qFormat/>
    <w:uiPriority w:val="0"/>
  </w:style>
  <w:style w:type="character" w:customStyle="1" w:styleId="56">
    <w:name w:val="批注文字 Char"/>
    <w:link w:val="14"/>
    <w:semiHidden/>
    <w:qFormat/>
    <w:uiPriority w:val="0"/>
    <w:rPr>
      <w:rFonts w:eastAsia="Times New Roman"/>
      <w:lang w:val="en-GB" w:eastAsia="en-US"/>
    </w:rPr>
  </w:style>
  <w:style w:type="character" w:customStyle="1" w:styleId="57">
    <w:name w:val="B2 Char"/>
    <w:link w:val="58"/>
    <w:qFormat/>
    <w:uiPriority w:val="0"/>
    <w:rPr>
      <w:rFonts w:eastAsia="宋体"/>
      <w:lang w:val="en-GB" w:eastAsia="en-US" w:bidi="ar-SA"/>
    </w:rPr>
  </w:style>
  <w:style w:type="paragraph" w:customStyle="1" w:styleId="58">
    <w:name w:val="B2"/>
    <w:basedOn w:val="16"/>
    <w:link w:val="57"/>
    <w:qFormat/>
    <w:uiPriority w:val="0"/>
    <w:pPr>
      <w:ind w:left="851" w:leftChars="0" w:hanging="284" w:firstLineChars="0"/>
    </w:pPr>
    <w:rPr>
      <w:rFonts w:eastAsia="宋体"/>
    </w:rPr>
  </w:style>
  <w:style w:type="character" w:customStyle="1" w:styleId="59">
    <w:name w:val="List Paragraph Char"/>
    <w:link w:val="60"/>
    <w:qFormat/>
    <w:uiPriority w:val="34"/>
    <w:rPr>
      <w:rFonts w:eastAsia="Times New Roman"/>
      <w:lang w:val="en-GB" w:eastAsia="en-US"/>
    </w:rPr>
  </w:style>
  <w:style w:type="paragraph" w:customStyle="1" w:styleId="60">
    <w:name w:val="List Paragraph1"/>
    <w:basedOn w:val="1"/>
    <w:link w:val="59"/>
    <w:qFormat/>
    <w:uiPriority w:val="34"/>
    <w:pPr>
      <w:ind w:left="720"/>
      <w:contextualSpacing/>
    </w:pPr>
  </w:style>
  <w:style w:type="character" w:customStyle="1" w:styleId="61">
    <w:name w:val="short_text"/>
    <w:basedOn w:val="28"/>
    <w:qFormat/>
    <w:uiPriority w:val="0"/>
  </w:style>
  <w:style w:type="character" w:customStyle="1" w:styleId="62">
    <w:name w:val="B3 Char"/>
    <w:qFormat/>
    <w:uiPriority w:val="0"/>
    <w:rPr>
      <w:lang w:val="en-GB" w:eastAsia="ja-JP" w:bidi="ar-SA"/>
    </w:rPr>
  </w:style>
  <w:style w:type="character" w:customStyle="1" w:styleId="63">
    <w:name w:val="def"/>
    <w:basedOn w:val="28"/>
    <w:qFormat/>
    <w:uiPriority w:val="0"/>
  </w:style>
  <w:style w:type="character" w:customStyle="1" w:styleId="64">
    <w:name w:val="TAC Char"/>
    <w:link w:val="48"/>
    <w:qFormat/>
    <w:uiPriority w:val="0"/>
    <w:rPr>
      <w:rFonts w:ascii="Arial" w:hAnsi="Arial" w:eastAsia="宋体"/>
      <w:sz w:val="18"/>
      <w:lang w:val="en-GB" w:eastAsia="en-US"/>
    </w:rPr>
  </w:style>
  <w:style w:type="character" w:customStyle="1" w:styleId="65">
    <w:name w:val="标题 2 Char"/>
    <w:link w:val="3"/>
    <w:qFormat/>
    <w:uiPriority w:val="0"/>
    <w:rPr>
      <w:rFonts w:ascii="Arial" w:hAnsi="Arial" w:eastAsia="Times New Roman"/>
      <w:bCs/>
      <w:iCs/>
      <w:sz w:val="28"/>
      <w:szCs w:val="28"/>
      <w:lang w:val="en-GB" w:eastAsia="en-US"/>
    </w:rPr>
  </w:style>
  <w:style w:type="character" w:customStyle="1" w:styleId="66">
    <w:name w:val="TAN Char"/>
    <w:link w:val="67"/>
    <w:qFormat/>
    <w:uiPriority w:val="0"/>
    <w:rPr>
      <w:rFonts w:ascii="Arial" w:hAnsi="Arial" w:eastAsia="宋体"/>
      <w:sz w:val="18"/>
      <w:lang w:val="en-GB" w:eastAsia="ja-JP" w:bidi="ar-SA"/>
    </w:rPr>
  </w:style>
  <w:style w:type="paragraph" w:customStyle="1" w:styleId="67">
    <w:name w:val="TAN"/>
    <w:basedOn w:val="49"/>
    <w:link w:val="66"/>
    <w:qFormat/>
    <w:uiPriority w:val="0"/>
    <w:pPr>
      <w:overflowPunct w:val="0"/>
      <w:autoSpaceDE w:val="0"/>
      <w:autoSpaceDN w:val="0"/>
      <w:adjustRightInd w:val="0"/>
      <w:ind w:left="851" w:hanging="851"/>
      <w:textAlignment w:val="baseline"/>
    </w:pPr>
    <w:rPr>
      <w:lang w:eastAsia="ja-JP"/>
    </w:rPr>
  </w:style>
  <w:style w:type="character" w:customStyle="1" w:styleId="68">
    <w:name w:val="TF Char"/>
    <w:link w:val="69"/>
    <w:qFormat/>
    <w:uiPriority w:val="0"/>
    <w:rPr>
      <w:rFonts w:ascii="Arial" w:hAnsi="Arial"/>
      <w:b/>
      <w:lang w:val="en-GB" w:eastAsia="en-US" w:bidi="ar-SA"/>
    </w:rPr>
  </w:style>
  <w:style w:type="paragraph" w:customStyle="1" w:styleId="69">
    <w:name w:val="TF"/>
    <w:basedOn w:val="1"/>
    <w:link w:val="68"/>
    <w:qFormat/>
    <w:uiPriority w:val="0"/>
    <w:pPr>
      <w:keepLines/>
      <w:spacing w:after="240"/>
      <w:jc w:val="center"/>
    </w:pPr>
    <w:rPr>
      <w:rFonts w:ascii="Arial" w:hAnsi="Arial" w:eastAsia="MS Mincho"/>
      <w:b/>
    </w:rPr>
  </w:style>
  <w:style w:type="character" w:customStyle="1" w:styleId="70">
    <w:name w:val="NO Char"/>
    <w:link w:val="71"/>
    <w:qFormat/>
    <w:uiPriority w:val="0"/>
    <w:rPr>
      <w:rFonts w:eastAsia="宋体"/>
      <w:lang w:val="en-GB" w:eastAsia="en-US" w:bidi="ar-SA"/>
    </w:rPr>
  </w:style>
  <w:style w:type="paragraph" w:customStyle="1" w:styleId="71">
    <w:name w:val="NO"/>
    <w:basedOn w:val="1"/>
    <w:link w:val="70"/>
    <w:qFormat/>
    <w:uiPriority w:val="0"/>
    <w:pPr>
      <w:keepLines/>
      <w:ind w:left="1135" w:hanging="851"/>
    </w:pPr>
    <w:rPr>
      <w:rFonts w:eastAsia="宋体"/>
    </w:rPr>
  </w:style>
  <w:style w:type="character" w:customStyle="1" w:styleId="72">
    <w:name w:val="Placeholder Text1"/>
    <w:semiHidden/>
    <w:qFormat/>
    <w:uiPriority w:val="99"/>
    <w:rPr>
      <w:color w:val="808080"/>
    </w:rPr>
  </w:style>
  <w:style w:type="character" w:customStyle="1" w:styleId="73">
    <w:name w:val="hps"/>
    <w:basedOn w:val="28"/>
    <w:qFormat/>
    <w:uiPriority w:val="0"/>
  </w:style>
  <w:style w:type="character" w:customStyle="1" w:styleId="74">
    <w:name w:val="TH Char"/>
    <w:link w:val="75"/>
    <w:qFormat/>
    <w:uiPriority w:val="0"/>
    <w:rPr>
      <w:rFonts w:ascii="Arial" w:hAnsi="Arial" w:eastAsia="宋体"/>
      <w:b/>
      <w:lang w:val="en-GB" w:eastAsia="en-US" w:bidi="ar-SA"/>
    </w:rPr>
  </w:style>
  <w:style w:type="paragraph" w:customStyle="1" w:styleId="75">
    <w:name w:val="TH"/>
    <w:basedOn w:val="1"/>
    <w:link w:val="74"/>
    <w:qFormat/>
    <w:uiPriority w:val="0"/>
    <w:pPr>
      <w:keepNext/>
      <w:keepLines/>
      <w:spacing w:before="60"/>
      <w:jc w:val="center"/>
    </w:pPr>
    <w:rPr>
      <w:rFonts w:ascii="Arial" w:hAnsi="Arial" w:eastAsia="宋体"/>
      <w:b/>
    </w:rPr>
  </w:style>
  <w:style w:type="character" w:customStyle="1" w:styleId="76">
    <w:name w:val="B1 (文字)"/>
    <w:qFormat/>
    <w:uiPriority w:val="0"/>
    <w:rPr>
      <w:lang w:val="en-GB" w:eastAsia="ja-JP" w:bidi="ar-SA"/>
    </w:rPr>
  </w:style>
  <w:style w:type="character" w:customStyle="1" w:styleId="77">
    <w:name w:val="TAL Car"/>
    <w:link w:val="49"/>
    <w:qFormat/>
    <w:uiPriority w:val="0"/>
    <w:rPr>
      <w:rFonts w:ascii="Arial" w:hAnsi="Arial" w:eastAsia="宋体"/>
      <w:sz w:val="18"/>
      <w:lang w:val="en-GB" w:eastAsia="en-US" w:bidi="ar-SA"/>
    </w:rPr>
  </w:style>
  <w:style w:type="character" w:customStyle="1" w:styleId="78">
    <w:name w:val="TF Zchn"/>
    <w:qFormat/>
    <w:uiPriority w:val="0"/>
    <w:rPr>
      <w:rFonts w:ascii="Arial" w:hAnsi="Arial"/>
      <w:b/>
      <w:lang w:val="en-GB" w:eastAsia="en-GB" w:bidi="ar-SA"/>
    </w:rPr>
  </w:style>
  <w:style w:type="character" w:customStyle="1" w:styleId="79">
    <w:name w:val="B3 Char2"/>
    <w:link w:val="80"/>
    <w:qFormat/>
    <w:uiPriority w:val="0"/>
    <w:rPr>
      <w:rFonts w:eastAsia="宋体"/>
      <w:lang w:val="en-GB" w:eastAsia="en-US" w:bidi="ar-SA"/>
    </w:rPr>
  </w:style>
  <w:style w:type="paragraph" w:customStyle="1" w:styleId="80">
    <w:name w:val="B3"/>
    <w:basedOn w:val="11"/>
    <w:link w:val="79"/>
    <w:qFormat/>
    <w:uiPriority w:val="0"/>
    <w:pPr>
      <w:ind w:left="1135" w:leftChars="0" w:hanging="284" w:firstLineChars="0"/>
    </w:pPr>
    <w:rPr>
      <w:rFonts w:eastAsia="宋体"/>
    </w:rPr>
  </w:style>
  <w:style w:type="character" w:customStyle="1" w:styleId="81">
    <w:name w:val="Editor's Note Char"/>
    <w:link w:val="82"/>
    <w:qFormat/>
    <w:uiPriority w:val="0"/>
    <w:rPr>
      <w:color w:val="FF0000"/>
      <w:lang w:val="en-GB" w:eastAsia="en-US" w:bidi="ar-SA"/>
    </w:rPr>
  </w:style>
  <w:style w:type="paragraph" w:customStyle="1" w:styleId="82">
    <w:name w:val="Editor's Note"/>
    <w:basedOn w:val="71"/>
    <w:link w:val="81"/>
    <w:qFormat/>
    <w:uiPriority w:val="0"/>
    <w:rPr>
      <w:rFonts w:eastAsia="MS Mincho"/>
      <w:color w:val="FF0000"/>
    </w:rPr>
  </w:style>
  <w:style w:type="character" w:customStyle="1" w:styleId="83">
    <w:name w:val="apple-converted-space"/>
    <w:basedOn w:val="28"/>
    <w:qFormat/>
    <w:uiPriority w:val="0"/>
  </w:style>
  <w:style w:type="paragraph" w:customStyle="1" w:styleId="84">
    <w:name w:val="NW"/>
    <w:basedOn w:val="71"/>
    <w:qFormat/>
    <w:uiPriority w:val="0"/>
    <w:pPr>
      <w:spacing w:after="0"/>
    </w:pPr>
  </w:style>
  <w:style w:type="paragraph" w:customStyle="1" w:styleId="85">
    <w:name w:val="EQ"/>
    <w:basedOn w:val="1"/>
    <w:next w:val="1"/>
    <w:qFormat/>
    <w:uiPriority w:val="0"/>
    <w:pPr>
      <w:keepLines/>
      <w:tabs>
        <w:tab w:val="center" w:pos="4536"/>
        <w:tab w:val="right" w:pos="9072"/>
      </w:tabs>
    </w:pPr>
    <w:rPr>
      <w:rFonts w:eastAsia="宋体"/>
      <w:lang w:eastAsia="zh-CN"/>
    </w:rPr>
  </w:style>
  <w:style w:type="paragraph" w:customStyle="1" w:styleId="86">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87">
    <w:name w:val="列出段落1"/>
    <w:basedOn w:val="1"/>
    <w:qFormat/>
    <w:uiPriority w:val="34"/>
    <w:pPr>
      <w:ind w:left="720"/>
      <w:contextualSpacing/>
    </w:pPr>
  </w:style>
  <w:style w:type="paragraph" w:customStyle="1" w:styleId="88">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9">
    <w:name w:val="Doc-title"/>
    <w:basedOn w:val="1"/>
    <w:next w:val="1"/>
    <w:qFormat/>
    <w:uiPriority w:val="0"/>
    <w:pPr>
      <w:spacing w:after="0"/>
      <w:ind w:left="1260" w:hanging="1260"/>
    </w:pPr>
    <w:rPr>
      <w:rFonts w:ascii="Arial" w:hAnsi="Arial" w:eastAsia="MS Mincho"/>
      <w:szCs w:val="24"/>
      <w:lang w:eastAsia="en-GB"/>
    </w:rPr>
  </w:style>
  <w:style w:type="paragraph" w:customStyle="1" w:styleId="90">
    <w:name w:val="Char Char Char Char"/>
    <w:basedOn w:val="1"/>
    <w:qFormat/>
    <w:uiPriority w:val="0"/>
    <w:pPr>
      <w:spacing w:after="160" w:line="240" w:lineRule="exact"/>
    </w:pPr>
    <w:rPr>
      <w:rFonts w:ascii="Verdana" w:hAnsi="Verdana" w:eastAsia="宋体"/>
      <w:lang w:val="en-US"/>
    </w:rPr>
  </w:style>
  <w:style w:type="paragraph" w:customStyle="1" w:styleId="91">
    <w:name w:val="text intend 1"/>
    <w:basedOn w:val="1"/>
    <w:qFormat/>
    <w:uiPriority w:val="0"/>
    <w:pPr>
      <w:numPr>
        <w:ilvl w:val="0"/>
        <w:numId w:val="2"/>
      </w:numPr>
      <w:spacing w:after="120"/>
      <w:jc w:val="both"/>
    </w:pPr>
    <w:rPr>
      <w:rFonts w:eastAsia="MS Mincho"/>
      <w:sz w:val="24"/>
      <w:lang w:val="en-US"/>
    </w:rPr>
  </w:style>
  <w:style w:type="paragraph" w:customStyle="1" w:styleId="92">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3">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4">
    <w:name w:val="CR Cover Page"/>
    <w:qFormat/>
    <w:uiPriority w:val="0"/>
    <w:pPr>
      <w:spacing w:after="120" w:line="259" w:lineRule="auto"/>
    </w:pPr>
    <w:rPr>
      <w:rFonts w:ascii="Arial" w:hAnsi="Arial" w:eastAsia="Batang" w:cs="Times New Roman"/>
      <w:lang w:val="en-GB" w:eastAsia="en-US" w:bidi="ar-SA"/>
    </w:rPr>
  </w:style>
  <w:style w:type="paragraph" w:customStyle="1" w:styleId="95">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96">
    <w:name w:val="Char Char1"/>
    <w:basedOn w:val="13"/>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97">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98">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9">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10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101">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2">
    <w:name w:val="Reference"/>
    <w:basedOn w:val="15"/>
    <w:qFormat/>
    <w:uiPriority w:val="0"/>
    <w:pPr>
      <w:widowControl w:val="0"/>
      <w:numPr>
        <w:ilvl w:val="0"/>
        <w:numId w:val="5"/>
      </w:numPr>
      <w:spacing w:after="0"/>
      <w:jc w:val="both"/>
    </w:pPr>
    <w:rPr>
      <w:kern w:val="2"/>
      <w:sz w:val="21"/>
      <w:szCs w:val="24"/>
      <w:lang w:val="de-DE" w:eastAsia="ja-JP"/>
    </w:rPr>
  </w:style>
  <w:style w:type="paragraph" w:customStyle="1" w:styleId="103">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4">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05">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06">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7">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8">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09">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10">
    <w:name w:val="FP"/>
    <w:basedOn w:val="1"/>
    <w:qFormat/>
    <w:uiPriority w:val="0"/>
    <w:pPr>
      <w:spacing w:after="0"/>
    </w:pPr>
    <w:rPr>
      <w:rFonts w:eastAsia="宋体"/>
    </w:rPr>
  </w:style>
  <w:style w:type="paragraph" w:customStyle="1" w:styleId="11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2">
    <w:name w:val="Proposal"/>
    <w:basedOn w:val="15"/>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3">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4">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15">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6">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17">
    <w:name w:val="reference"/>
    <w:basedOn w:val="15"/>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18">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9">
    <w:name w:val="B5"/>
    <w:basedOn w:val="21"/>
    <w:qFormat/>
    <w:uiPriority w:val="0"/>
    <w:pPr>
      <w:ind w:left="1702" w:leftChars="0" w:hanging="284" w:firstLineChars="0"/>
    </w:pPr>
    <w:rPr>
      <w:rFonts w:eastAsia="宋体"/>
    </w:rPr>
  </w:style>
  <w:style w:type="paragraph" w:customStyle="1" w:styleId="120">
    <w:name w:val="EW"/>
    <w:basedOn w:val="1"/>
    <w:qFormat/>
    <w:uiPriority w:val="0"/>
    <w:pPr>
      <w:keepLines/>
      <w:spacing w:after="0"/>
      <w:ind w:left="1702" w:hanging="1418"/>
    </w:pPr>
    <w:rPr>
      <w:rFonts w:eastAsia="宋体"/>
    </w:rPr>
  </w:style>
  <w:style w:type="paragraph" w:customStyle="1" w:styleId="121">
    <w:name w:val="列出段落2"/>
    <w:basedOn w:val="1"/>
    <w:qFormat/>
    <w:uiPriority w:val="99"/>
    <w:pPr>
      <w:ind w:left="720"/>
      <w:contextualSpacing/>
    </w:pPr>
  </w:style>
  <w:style w:type="paragraph" w:customStyle="1" w:styleId="122">
    <w:name w:val="列出段落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3">
    <w:name w:val="List Paragraph2"/>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4">
    <w:name w:val="List Paragraph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styleId="125">
    <w:name w:val="List Paragraph"/>
    <w:basedOn w:val="1"/>
    <w:qFormat/>
    <w:uiPriority w:val="34"/>
    <w:pPr>
      <w:spacing w:after="0"/>
      <w:ind w:left="720"/>
      <w:contextualSpacing/>
    </w:pPr>
    <w:rPr>
      <w:sz w:val="24"/>
      <w:szCs w:val="24"/>
      <w:lang w:val="fi-FI" w:eastAsia="zh-CN"/>
    </w:rPr>
  </w:style>
  <w:style w:type="paragraph" w:customStyle="1" w:styleId="126">
    <w:name w:val="Agreement"/>
    <w:basedOn w:val="1"/>
    <w:next w:val="38"/>
    <w:qFormat/>
    <w:uiPriority w:val="0"/>
    <w:pPr>
      <w:numPr>
        <w:ilvl w:val="0"/>
        <w:numId w:val="9"/>
      </w:numPr>
      <w:spacing w:before="60" w:after="0"/>
    </w:pPr>
    <w:rPr>
      <w:rFonts w:eastAsia="MS Mincho"/>
      <w:b/>
      <w:szCs w:val="24"/>
      <w:lang w:eastAsia="en-GB"/>
    </w:rPr>
  </w:style>
  <w:style w:type="paragraph" w:customStyle="1" w:styleId="127">
    <w:name w:val="00 BodyText"/>
    <w:basedOn w:val="1"/>
    <w:qFormat/>
    <w:uiPriority w:val="0"/>
    <w:pPr>
      <w:spacing w:after="220"/>
    </w:pPr>
    <w:rPr>
      <w:rFonts w:ascii="Arial" w:hAnsi="Arial" w:eastAsia="宋体"/>
      <w:szCs w:val="24"/>
    </w:rPr>
  </w:style>
  <w:style w:type="paragraph" w:customStyle="1" w:styleId="128">
    <w:name w:val="Patent"/>
    <w:basedOn w:val="129"/>
    <w:qFormat/>
    <w:uiPriority w:val="0"/>
    <w:pPr>
      <w:numPr>
        <w:ilvl w:val="0"/>
        <w:numId w:val="10"/>
      </w:numPr>
      <w:textAlignment w:val="auto"/>
    </w:pPr>
  </w:style>
  <w:style w:type="paragraph" w:customStyle="1" w:styleId="129">
    <w:name w:val="Pat Appl"/>
    <w:basedOn w:val="130"/>
    <w:qFormat/>
    <w:uiPriority w:val="0"/>
    <w:pPr>
      <w:tabs>
        <w:tab w:val="left" w:pos="1080"/>
      </w:tabs>
      <w:spacing w:line="360" w:lineRule="auto"/>
    </w:pPr>
    <w:rPr>
      <w:rFonts w:ascii="Times New Roman" w:hAnsi="Times New Roman"/>
      <w:szCs w:val="24"/>
    </w:rPr>
  </w:style>
  <w:style w:type="paragraph" w:customStyle="1" w:styleId="130">
    <w:name w:val="New Paragraph Style"/>
    <w:basedOn w:val="1"/>
    <w:qFormat/>
    <w:uiPriority w:val="0"/>
    <w:pPr>
      <w:tabs>
        <w:tab w:val="left" w:pos="1080"/>
      </w:tabs>
      <w:adjustRightInd w:val="0"/>
      <w:spacing w:line="480" w:lineRule="auto"/>
      <w:textAlignment w:val="baseline"/>
    </w:pPr>
    <w:rPr>
      <w:rFonts w:ascii="Courier New" w:hAnsi="Courier New"/>
      <w:bCs/>
    </w:rPr>
  </w:style>
  <w:style w:type="paragraph" w:customStyle="1" w:styleId="131">
    <w:name w:val="b110"/>
    <w:basedOn w:val="1"/>
    <w:qFormat/>
    <w:uiPriority w:val="0"/>
    <w:pPr>
      <w:spacing w:before="75" w:after="75"/>
    </w:pPr>
    <w:rPr>
      <w:sz w:val="24"/>
      <w:szCs w:val="24"/>
      <w:lang w:val="en-US" w:eastAsia="zh-CN"/>
    </w:rPr>
  </w:style>
  <w:style w:type="paragraph" w:customStyle="1" w:styleId="132">
    <w:name w:val="main text"/>
    <w:basedOn w:val="1"/>
    <w:qFormat/>
    <w:uiPriority w:val="0"/>
    <w:pPr>
      <w:spacing w:after="60" w:line="288" w:lineRule="auto"/>
      <w:ind w:firstLine="200" w:firstLineChars="200"/>
    </w:pPr>
    <w:rPr>
      <w:rFonts w:ascii="Times New Roman" w:hAnsi="Times New Roman" w:eastAsia="Malgun Gothic" w:cs="Batang"/>
      <w:lang w:val="en-GB" w:eastAsia="ko-KR"/>
    </w:rPr>
  </w:style>
</w:style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image" Target="media/image4.wmf"/><Relationship Id="rId14" Type="http://schemas.openxmlformats.org/officeDocument/2006/relationships/oleObject" Target="embeddings/oleObject4.bin"/><Relationship Id="rId13" Type="http://schemas.openxmlformats.org/officeDocument/2006/relationships/image" Target="media/image3.wmf"/><Relationship Id="rId12" Type="http://schemas.openxmlformats.org/officeDocument/2006/relationships/oleObject" Target="embeddings/oleObject3.bin"/><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ZTE</Company>
  <Pages>8</Pages>
  <Words>3044</Words>
  <Characters>17355</Characters>
  <Lines>144</Lines>
  <Paragraphs>40</Paragraphs>
  <TotalTime>24</TotalTime>
  <ScaleCrop>false</ScaleCrop>
  <LinksUpToDate>false</LinksUpToDate>
  <CharactersWithSpaces>20359</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2021-08-13T20:30:00Z</dcterms:created>
  <dc:creator>ZTE</dc:creator>
  <cp:lastModifiedBy>ZTE-Yang Ling</cp:lastModifiedBy>
  <cp:lastPrinted>2018-02-26T07:29:00Z</cp:lastPrinted>
  <dcterms:modified xsi:type="dcterms:W3CDTF">2022-02-14T06:57:51Z</dcterms:modified>
  <dc:title>3GPP TSG RAN WG1 #102-e	R1-20xxxxx</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3F58A8C2ECBB4B52850B5C51359A925A</vt:lpwstr>
  </property>
</Properties>
</file>